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91FC" w14:textId="77777777" w:rsidR="00506303" w:rsidRPr="00506303" w:rsidRDefault="00506303" w:rsidP="00506303">
      <w:pPr>
        <w:widowControl w:val="0"/>
        <w:autoSpaceDE w:val="0"/>
        <w:autoSpaceDN w:val="0"/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kern w:val="0"/>
          <w:sz w:val="24"/>
          <w:lang w:val="uk-UA"/>
          <w14:ligatures w14:val="none"/>
        </w:rPr>
        <w:t xml:space="preserve">Обґрунтування </w:t>
      </w:r>
    </w:p>
    <w:p w14:paraId="459F5FF7" w14:textId="77777777" w:rsidR="00506303" w:rsidRPr="00506303" w:rsidRDefault="00506303" w:rsidP="00506303">
      <w:pPr>
        <w:widowControl w:val="0"/>
        <w:autoSpaceDE w:val="0"/>
        <w:autoSpaceDN w:val="0"/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kern w:val="0"/>
          <w:sz w:val="24"/>
          <w:lang w:val="uk-UA"/>
          <w14:ligatures w14:val="none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E316478" w14:textId="77777777" w:rsidR="00506303" w:rsidRPr="00506303" w:rsidRDefault="00506303" w:rsidP="00506303">
      <w:pPr>
        <w:widowControl w:val="0"/>
        <w:autoSpaceDE w:val="0"/>
        <w:autoSpaceDN w:val="0"/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kern w:val="0"/>
          <w:sz w:val="24"/>
          <w:lang w:val="uk-UA"/>
          <w14:ligatures w14:val="none"/>
        </w:rPr>
        <w:t>(на виконання вимог Постанови Кабінету Міністрів України від 11.10.2016 № 710</w:t>
      </w:r>
    </w:p>
    <w:p w14:paraId="17E80BFD" w14:textId="77777777" w:rsidR="00506303" w:rsidRPr="00506303" w:rsidRDefault="00506303" w:rsidP="00506303">
      <w:pPr>
        <w:widowControl w:val="0"/>
        <w:autoSpaceDE w:val="0"/>
        <w:autoSpaceDN w:val="0"/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kern w:val="0"/>
          <w:sz w:val="24"/>
          <w:lang w:val="uk-UA"/>
          <w14:ligatures w14:val="none"/>
        </w:rPr>
        <w:t xml:space="preserve"> (зі змінами) Про ефективне використання державних коштів)</w:t>
      </w:r>
    </w:p>
    <w:p w14:paraId="3C20ABD2" w14:textId="77777777" w:rsidR="00506303" w:rsidRPr="00506303" w:rsidRDefault="00506303" w:rsidP="00506303">
      <w:pPr>
        <w:widowControl w:val="0"/>
        <w:autoSpaceDE w:val="0"/>
        <w:autoSpaceDN w:val="0"/>
        <w:spacing w:before="78" w:after="0" w:line="275" w:lineRule="exact"/>
        <w:ind w:right="7"/>
        <w:jc w:val="center"/>
        <w:rPr>
          <w:rFonts w:eastAsia="Times New Roman" w:cs="Times New Roman"/>
          <w:b/>
          <w:color w:val="000000"/>
          <w:w w:val="105"/>
          <w:kern w:val="0"/>
          <w:sz w:val="24"/>
          <w:szCs w:val="24"/>
          <w:lang w:val="uk-UA"/>
          <w14:ligatures w14:val="none"/>
        </w:rPr>
      </w:pPr>
    </w:p>
    <w:p w14:paraId="4BE60CDD" w14:textId="48701E99" w:rsidR="00506303" w:rsidRDefault="00506303" w:rsidP="00506303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color w:val="000000"/>
          <w:w w:val="95"/>
          <w:kern w:val="0"/>
          <w:sz w:val="24"/>
          <w:szCs w:val="24"/>
          <w:lang w:val="uk-UA"/>
          <w14:ligatures w14:val="none"/>
        </w:rPr>
        <w:t xml:space="preserve"> 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На порталі </w:t>
      </w:r>
      <w:proofErr w:type="spellStart"/>
      <w:r w:rsidRPr="00506303">
        <w:rPr>
          <w:rFonts w:eastAsia="Times New Roman" w:cs="Times New Roman"/>
          <w:kern w:val="0"/>
          <w:sz w:val="24"/>
          <w:lang w:val="en-US"/>
          <w14:ligatures w14:val="none"/>
        </w:rPr>
        <w:t>Prozzoro</w:t>
      </w:r>
      <w:proofErr w:type="spellEnd"/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>13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>січня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202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>6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року  Товариством з обмеженої відповідальністю «Трускавецький водоканал» розміщено оголошення про проведення </w:t>
      </w:r>
      <w:bookmarkStart w:id="0" w:name="_Hlk69910306"/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>відкритих торгів                        (з особливостями), предмет закупівлі:</w:t>
      </w:r>
      <w:bookmarkEnd w:id="0"/>
      <w:r w:rsidRPr="00506303">
        <w:rPr>
          <w:rFonts w:ascii="Arial" w:eastAsia="Times New Roman" w:hAnsi="Arial" w:cs="Arial"/>
          <w:color w:val="000000"/>
          <w:kern w:val="36"/>
          <w:sz w:val="54"/>
          <w:szCs w:val="54"/>
          <w:bdr w:val="none" w:sz="0" w:space="0" w:color="auto" w:frame="1"/>
          <w:lang w:val="uk-UA" w:eastAsia="uk-UA"/>
          <w14:ligatures w14:val="none"/>
        </w:rPr>
        <w:t xml:space="preserve"> 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>ДК 021-2015 (CPV) 09130000-9 - Нафта і дистиляти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 xml:space="preserve">, 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>Ідентифікатор закупівлі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ab/>
        <w:t>UA-2026-01-13-002297-a</w:t>
      </w:r>
    </w:p>
    <w:p w14:paraId="6D9BAE1A" w14:textId="091909BE" w:rsidR="00506303" w:rsidRDefault="00506303" w:rsidP="00506303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>Обґрунтування доцільності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 xml:space="preserve">: придбання </w:t>
      </w:r>
      <w:bookmarkStart w:id="1" w:name="_Hlk219282927"/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>Дизельне паливо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 xml:space="preserve"> та бензин А 95 </w:t>
      </w:r>
      <w:bookmarkEnd w:id="1"/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здійснюється для забезпечення 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 xml:space="preserve">безперебійного функціонування транспортних засобів ТОВ «Трускавецький водоканал» під час виконання функцій та завдань, які покладені на підприємство. </w:t>
      </w:r>
    </w:p>
    <w:p w14:paraId="6C23C198" w14:textId="754EF2B1" w:rsidR="00506303" w:rsidRDefault="00506303" w:rsidP="00506303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>Обсяг закупівлі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>: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Дизельне паливо 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 xml:space="preserve"> 37 000 л 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>та бензин А 95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>- 25000 л.;</w:t>
      </w:r>
    </w:p>
    <w:p w14:paraId="787187FD" w14:textId="654D3472" w:rsidR="00506303" w:rsidRPr="00506303" w:rsidRDefault="00506303" w:rsidP="00506303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b/>
          <w:bCs/>
          <w:kern w:val="0"/>
          <w:sz w:val="24"/>
          <w:lang w:val="uk-UA"/>
          <w14:ligatures w14:val="none"/>
        </w:rPr>
        <w:t>Період постачання</w:t>
      </w: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 xml:space="preserve"> – цілодобово, до 31 грудня 2026 року включно.</w:t>
      </w:r>
    </w:p>
    <w:p w14:paraId="44D29B8B" w14:textId="51C69583" w:rsidR="00506303" w:rsidRDefault="00506303" w:rsidP="00506303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r w:rsidRPr="00506303">
        <w:rPr>
          <w:rFonts w:eastAsia="Times New Roman" w:cs="Times New Roman"/>
          <w:kern w:val="0"/>
          <w:sz w:val="24"/>
          <w:lang w:val="uk-UA"/>
          <w14:ligatures w14:val="none"/>
        </w:rPr>
        <w:t>Закупівля здійснюється за рахунок власних коштів  підприємства</w:t>
      </w:r>
      <w:r>
        <w:rPr>
          <w:rFonts w:eastAsia="Times New Roman" w:cs="Times New Roman"/>
          <w:kern w:val="0"/>
          <w:sz w:val="24"/>
          <w:lang w:val="uk-UA"/>
          <w14:ligatures w14:val="none"/>
        </w:rPr>
        <w:t>;</w:t>
      </w:r>
    </w:p>
    <w:p w14:paraId="42F5A6B2" w14:textId="59FB830A" w:rsidR="00506303" w:rsidRPr="00506303" w:rsidRDefault="00506303" w:rsidP="00506303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  <w:proofErr w:type="spellStart"/>
      <w:r>
        <w:rPr>
          <w:sz w:val="24"/>
          <w:szCs w:val="24"/>
        </w:rPr>
        <w:t>Очікувана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вартість</w:t>
      </w:r>
      <w:proofErr w:type="spellEnd"/>
      <w:r>
        <w:rPr>
          <w:sz w:val="24"/>
          <w:szCs w:val="24"/>
        </w:rPr>
        <w:t xml:space="preserve"> предмета </w:t>
      </w:r>
      <w:proofErr w:type="spellStart"/>
      <w:r>
        <w:rPr>
          <w:sz w:val="24"/>
          <w:szCs w:val="24"/>
        </w:rPr>
        <w:t>закупівлі</w:t>
      </w:r>
      <w:proofErr w:type="spellEnd"/>
      <w:r>
        <w:rPr>
          <w:sz w:val="24"/>
          <w:szCs w:val="24"/>
          <w:lang w:val="uk-UA"/>
        </w:rPr>
        <w:t xml:space="preserve"> </w:t>
      </w:r>
      <w:r w:rsidRPr="00506303">
        <w:rPr>
          <w:sz w:val="24"/>
          <w:szCs w:val="24"/>
        </w:rPr>
        <w:t>3`843`38000 Гривня</w:t>
      </w:r>
    </w:p>
    <w:p w14:paraId="60EF5873" w14:textId="505B54AD" w:rsidR="00506303" w:rsidRPr="00506303" w:rsidRDefault="00506303" w:rsidP="00506303">
      <w:pPr>
        <w:spacing w:after="0"/>
        <w:ind w:left="360"/>
        <w:jc w:val="center"/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506303"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  <w:t>технічні, якісні та кількісні характеристики предмета закупівлі</w:t>
      </w:r>
    </w:p>
    <w:p w14:paraId="59211F39" w14:textId="77777777" w:rsidR="00506303" w:rsidRPr="00506303" w:rsidRDefault="00506303" w:rsidP="00506303">
      <w:pPr>
        <w:spacing w:after="0"/>
        <w:ind w:left="360"/>
        <w:jc w:val="both"/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66B7B9AD" w14:textId="77777777" w:rsidR="00506303" w:rsidRPr="00506303" w:rsidRDefault="00506303" w:rsidP="00506303">
      <w:pPr>
        <w:spacing w:after="200" w:line="276" w:lineRule="auto"/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tbl>
      <w:tblPr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1"/>
        <w:gridCol w:w="1893"/>
        <w:gridCol w:w="4674"/>
        <w:gridCol w:w="991"/>
        <w:gridCol w:w="1056"/>
      </w:tblGrid>
      <w:tr w:rsidR="00506303" w:rsidRPr="00506303" w14:paraId="613DCA4B" w14:textId="77777777" w:rsidTr="00477089">
        <w:trPr>
          <w:trHeight w:val="1605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15B183C" w14:textId="77777777" w:rsidR="00506303" w:rsidRPr="00506303" w:rsidRDefault="00506303" w:rsidP="00506303">
            <w:pPr>
              <w:snapToGrid w:val="0"/>
              <w:spacing w:after="200" w:line="276" w:lineRule="auto"/>
              <w:ind w:left="-108" w:right="-109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50630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№ п/п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EBD8F57" w14:textId="77777777" w:rsidR="00506303" w:rsidRPr="00506303" w:rsidRDefault="00506303" w:rsidP="00506303">
            <w:pPr>
              <w:snapToGrid w:val="0"/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50630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Найменування товару**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0B268" w14:textId="77777777" w:rsidR="00506303" w:rsidRPr="00506303" w:rsidRDefault="00506303" w:rsidP="00506303">
            <w:pPr>
              <w:snapToGrid w:val="0"/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50630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Характеристика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C39034A" w14:textId="77777777" w:rsidR="00506303" w:rsidRPr="00506303" w:rsidRDefault="00506303" w:rsidP="00506303">
            <w:pPr>
              <w:snapToGrid w:val="0"/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50630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 xml:space="preserve">Од. </w:t>
            </w:r>
            <w:proofErr w:type="spellStart"/>
            <w:r w:rsidRPr="0050630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Вим</w:t>
            </w:r>
            <w:proofErr w:type="spellEnd"/>
            <w:r w:rsidRPr="0050630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24020F9" w14:textId="77777777" w:rsidR="00506303" w:rsidRPr="00506303" w:rsidRDefault="00506303" w:rsidP="00506303">
            <w:pPr>
              <w:snapToGrid w:val="0"/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50630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Кіл-</w:t>
            </w:r>
            <w:proofErr w:type="spellStart"/>
            <w:r w:rsidRPr="00506303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uk-UA"/>
                <w14:ligatures w14:val="none"/>
              </w:rPr>
              <w:t>ть</w:t>
            </w:r>
            <w:proofErr w:type="spellEnd"/>
          </w:p>
        </w:tc>
      </w:tr>
      <w:tr w:rsidR="00506303" w:rsidRPr="00506303" w14:paraId="3643DC31" w14:textId="77777777" w:rsidTr="00477089">
        <w:trPr>
          <w:trHeight w:val="297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A869749" w14:textId="77777777" w:rsidR="00506303" w:rsidRPr="00506303" w:rsidRDefault="00506303" w:rsidP="00506303">
            <w:pPr>
              <w:snapToGrid w:val="0"/>
              <w:spacing w:after="0" w:line="276" w:lineRule="auto"/>
              <w:rPr>
                <w:rFonts w:eastAsia="Times New Roman" w:cs="Times New Roman"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506303">
              <w:rPr>
                <w:rFonts w:eastAsia="Times New Roman" w:cs="Times New Roman"/>
                <w:bCs/>
                <w:kern w:val="0"/>
                <w:sz w:val="24"/>
                <w:szCs w:val="24"/>
                <w:lang w:val="uk-UA"/>
                <w14:ligatures w14:val="none"/>
              </w:rPr>
              <w:t>1.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8667E8C" w14:textId="77777777" w:rsidR="00506303" w:rsidRPr="00506303" w:rsidRDefault="00506303" w:rsidP="00506303">
            <w:pPr>
              <w:snapToGrid w:val="0"/>
              <w:spacing w:after="0" w:line="276" w:lineRule="auto"/>
              <w:rPr>
                <w:rFonts w:eastAsia="Times New Roman" w:cs="Times New Roman"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bookmarkStart w:id="2" w:name="_Hlk219282774"/>
            <w:r w:rsidRPr="00506303"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Дизельне паливо</w:t>
            </w:r>
            <w:bookmarkEnd w:id="2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18F15" w14:textId="77777777" w:rsidR="00506303" w:rsidRPr="00506303" w:rsidRDefault="00506303" w:rsidP="00506303">
            <w:pPr>
              <w:snapToGrid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506303"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Якість дизельного палива повинна відповідати вимогам ДСТУ 7688:2015 «Паливо дизельне </w:t>
            </w:r>
            <w:proofErr w:type="spellStart"/>
            <w:r w:rsidRPr="00506303"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Евро</w:t>
            </w:r>
            <w:proofErr w:type="spellEnd"/>
            <w:r w:rsidRPr="00506303"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. Технічні умови» або Технічному регламенту щодо вимог до автомобільних бензинів, дизельного, суднового та котельного палива. </w:t>
            </w:r>
            <w:proofErr w:type="spellStart"/>
            <w:r w:rsidRPr="00506303"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Цетанове</w:t>
            </w:r>
            <w:proofErr w:type="spellEnd"/>
            <w:r w:rsidRPr="00506303"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число не менше ніж 47. Вміст сірки не більше ніж 10 мг/кг.</w:t>
            </w:r>
          </w:p>
          <w:p w14:paraId="6FAB0ABE" w14:textId="77777777" w:rsidR="00506303" w:rsidRPr="00506303" w:rsidRDefault="00506303" w:rsidP="00506303">
            <w:pPr>
              <w:snapToGrid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506303"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 підтвердження Учасникам необхідно  надати копії:</w:t>
            </w:r>
          </w:p>
          <w:p w14:paraId="0FC80D5E" w14:textId="77777777" w:rsidR="00506303" w:rsidRPr="00506303" w:rsidRDefault="00506303" w:rsidP="00506303">
            <w:pPr>
              <w:snapToGrid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506303"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1.1.</w:t>
            </w:r>
            <w:r w:rsidRPr="00506303"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  <w:t>Сертифікат відповідності Технічному регламенту щодо вимог до автомобільних бензинів, дизельного, суднових та котельних палив та ДСТУ 7688:2015 «Паливо дизельне Євро. Технічну умови» на паливо дизельне ( далі – паливо), виданий Учаснику уповноваженим (акредитованим) органом з оцінки відповідності.</w:t>
            </w:r>
          </w:p>
          <w:p w14:paraId="08B589D2" w14:textId="77777777" w:rsidR="00506303" w:rsidRPr="00506303" w:rsidRDefault="00506303" w:rsidP="00506303">
            <w:pPr>
              <w:snapToGrid w:val="0"/>
              <w:spacing w:after="0"/>
              <w:jc w:val="both"/>
              <w:rPr>
                <w:rFonts w:eastAsia="Times New Roman" w:cs="Times New Roman"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506303"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1.2.</w:t>
            </w:r>
            <w:r w:rsidRPr="00506303"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  <w:t>Паспорт якості із зазначенням технічних характеристик пропонованого палива.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774F962" w14:textId="77777777" w:rsidR="00506303" w:rsidRPr="00506303" w:rsidRDefault="00506303" w:rsidP="00506303">
            <w:pPr>
              <w:snapToGrid w:val="0"/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506303">
              <w:rPr>
                <w:rFonts w:eastAsia="Times New Roman" w:cs="Times New Roman"/>
                <w:bCs/>
                <w:kern w:val="0"/>
                <w:sz w:val="24"/>
                <w:szCs w:val="24"/>
                <w:lang w:val="uk-UA"/>
                <w14:ligatures w14:val="none"/>
              </w:rPr>
              <w:lastRenderedPageBreak/>
              <w:t>л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D8FF201" w14:textId="77777777" w:rsidR="00506303" w:rsidRPr="00506303" w:rsidRDefault="00506303" w:rsidP="00506303">
            <w:pPr>
              <w:snapToGrid w:val="0"/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506303">
              <w:rPr>
                <w:rFonts w:eastAsia="Times New Roman" w:cs="Times New Roman"/>
                <w:bCs/>
                <w:kern w:val="0"/>
                <w:sz w:val="24"/>
                <w:szCs w:val="24"/>
                <w:lang w:val="uk-UA"/>
                <w14:ligatures w14:val="none"/>
              </w:rPr>
              <w:t>37 000</w:t>
            </w:r>
          </w:p>
        </w:tc>
      </w:tr>
      <w:tr w:rsidR="00506303" w:rsidRPr="00506303" w14:paraId="769106F1" w14:textId="77777777" w:rsidTr="00477089">
        <w:trPr>
          <w:trHeight w:val="297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46316BF" w14:textId="77777777" w:rsidR="00506303" w:rsidRPr="00506303" w:rsidRDefault="00506303" w:rsidP="00506303">
            <w:pPr>
              <w:snapToGrid w:val="0"/>
              <w:spacing w:after="0" w:line="276" w:lineRule="auto"/>
              <w:rPr>
                <w:rFonts w:eastAsia="Times New Roman" w:cs="Times New Roman"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506303">
              <w:rPr>
                <w:rFonts w:eastAsia="Times New Roman" w:cs="Times New Roman"/>
                <w:bCs/>
                <w:kern w:val="0"/>
                <w:sz w:val="24"/>
                <w:szCs w:val="24"/>
                <w:lang w:val="uk-UA"/>
                <w14:ligatures w14:val="none"/>
              </w:rPr>
              <w:t>2.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86C7A26" w14:textId="77777777" w:rsidR="00506303" w:rsidRPr="00506303" w:rsidRDefault="00506303" w:rsidP="00506303">
            <w:pPr>
              <w:snapToGrid w:val="0"/>
              <w:spacing w:after="0" w:line="276" w:lineRule="auto"/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506303"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Бензин А-95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6D8B4" w14:textId="77777777" w:rsidR="00506303" w:rsidRPr="00506303" w:rsidRDefault="00506303" w:rsidP="00506303">
            <w:pPr>
              <w:snapToGrid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506303"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Якість бензину повинна відповідати ДСТУ 7687:2015 «Бензини автомобільні </w:t>
            </w:r>
            <w:proofErr w:type="spellStart"/>
            <w:r w:rsidRPr="00506303"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Евро</w:t>
            </w:r>
            <w:proofErr w:type="spellEnd"/>
            <w:r w:rsidRPr="00506303"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. Технічні умови» та  Технічному регламенту щодо вимог до автомобільних бензинів, дизельного, суднових та котельних палив, затвердженому Постановою Кабінету Міністрів України від 01.08.2013 року № 927. Вміст сірки не більше ніж 10 мг/кг.</w:t>
            </w:r>
          </w:p>
          <w:p w14:paraId="2A041D27" w14:textId="77777777" w:rsidR="00506303" w:rsidRPr="00506303" w:rsidRDefault="00506303" w:rsidP="00506303">
            <w:pPr>
              <w:snapToGrid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506303"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На підтвердження Учасникам необхідно надати копії:</w:t>
            </w:r>
          </w:p>
          <w:p w14:paraId="7ADF17A3" w14:textId="77777777" w:rsidR="00506303" w:rsidRPr="00506303" w:rsidRDefault="00506303" w:rsidP="00506303">
            <w:pPr>
              <w:snapToGrid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506303"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2.1.</w:t>
            </w:r>
            <w:r w:rsidRPr="00506303"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  <w:t>Сертифікат відповідності Технічному регламенту щодо вимог до автомобільних бензинів, дизельного, суднових та котельних палив та ДСТУ 7687:2015 «Бензин автомобільний Євро. Технічну умови» на бензини автомобільні (далі – паливо), виданий Учаснику уповноваженим (акредитованим) органом з оцінки відповідності.</w:t>
            </w:r>
          </w:p>
          <w:p w14:paraId="5B9ACA70" w14:textId="77777777" w:rsidR="00506303" w:rsidRPr="00506303" w:rsidRDefault="00506303" w:rsidP="00506303">
            <w:pPr>
              <w:snapToGrid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506303"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2.2.</w:t>
            </w:r>
            <w:r w:rsidRPr="00506303">
              <w:rPr>
                <w:rFonts w:eastAsia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ab/>
              <w:t>Паспорт якості із зазначенням технічних характеристик пропонованого палива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1F33" w14:textId="77777777" w:rsidR="00506303" w:rsidRPr="00506303" w:rsidRDefault="00506303" w:rsidP="00506303">
            <w:pPr>
              <w:snapToGrid w:val="0"/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506303">
              <w:rPr>
                <w:rFonts w:eastAsia="Times New Roman" w:cs="Times New Roman"/>
                <w:bCs/>
                <w:kern w:val="0"/>
                <w:sz w:val="24"/>
                <w:szCs w:val="24"/>
                <w:lang w:val="uk-UA"/>
                <w14:ligatures w14:val="none"/>
              </w:rPr>
              <w:t>л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D2AD" w14:textId="77777777" w:rsidR="00506303" w:rsidRPr="00506303" w:rsidRDefault="00506303" w:rsidP="00506303">
            <w:pPr>
              <w:snapToGrid w:val="0"/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val="uk-UA"/>
                <w14:ligatures w14:val="none"/>
              </w:rPr>
            </w:pPr>
            <w:r w:rsidRPr="00506303">
              <w:rPr>
                <w:rFonts w:eastAsia="Times New Roman" w:cs="Times New Roman"/>
                <w:bCs/>
                <w:kern w:val="0"/>
                <w:sz w:val="24"/>
                <w:szCs w:val="24"/>
                <w:lang w:val="uk-UA"/>
                <w14:ligatures w14:val="none"/>
              </w:rPr>
              <w:t>25 000</w:t>
            </w:r>
          </w:p>
        </w:tc>
      </w:tr>
    </w:tbl>
    <w:p w14:paraId="23CB5DB9" w14:textId="77777777" w:rsidR="00506303" w:rsidRPr="00506303" w:rsidRDefault="00506303" w:rsidP="00506303">
      <w:pPr>
        <w:ind w:firstLine="709"/>
        <w:jc w:val="both"/>
        <w:rPr>
          <w:rFonts w:eastAsia="Times New Roman" w:cs="Times New Roman"/>
          <w:kern w:val="0"/>
          <w:sz w:val="24"/>
          <w:lang w:val="uk-UA"/>
          <w14:ligatures w14:val="none"/>
        </w:rPr>
      </w:pPr>
    </w:p>
    <w:p w14:paraId="01CE6DCB" w14:textId="538856BF" w:rsidR="00F12C76" w:rsidRPr="00506303" w:rsidRDefault="00F12C76" w:rsidP="00506303">
      <w:pPr>
        <w:spacing w:after="0"/>
        <w:ind w:firstLine="709"/>
        <w:jc w:val="both"/>
        <w:rPr>
          <w:lang w:val="uk-UA"/>
        </w:rPr>
      </w:pPr>
    </w:p>
    <w:sectPr w:rsidR="00F12C76" w:rsidRPr="0050630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4D"/>
    <w:rsid w:val="000C3302"/>
    <w:rsid w:val="002A2571"/>
    <w:rsid w:val="00373BD2"/>
    <w:rsid w:val="004C2075"/>
    <w:rsid w:val="00506303"/>
    <w:rsid w:val="0055074D"/>
    <w:rsid w:val="005A3DC5"/>
    <w:rsid w:val="00616A94"/>
    <w:rsid w:val="006C0B77"/>
    <w:rsid w:val="008242FF"/>
    <w:rsid w:val="00870751"/>
    <w:rsid w:val="00922C48"/>
    <w:rsid w:val="00B406F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1D5D"/>
  <w15:chartTrackingRefBased/>
  <w15:docId w15:val="{1807FC67-3929-4D5A-950B-D0017EDE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7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7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7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7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7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7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7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0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074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074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5074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5074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5074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5074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507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5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7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5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5074D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550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5074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550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1757</Words>
  <Characters>1002</Characters>
  <Application>Microsoft Office Word</Application>
  <DocSecurity>0</DocSecurity>
  <Lines>8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Ігор Кирч</cp:lastModifiedBy>
  <cp:revision>2</cp:revision>
  <cp:lastPrinted>2026-01-14T09:37:00Z</cp:lastPrinted>
  <dcterms:created xsi:type="dcterms:W3CDTF">2026-01-14T12:06:00Z</dcterms:created>
  <dcterms:modified xsi:type="dcterms:W3CDTF">2026-01-14T12:06:00Z</dcterms:modified>
</cp:coreProperties>
</file>