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67" w:rsidRDefault="00C96567" w:rsidP="005A62F1">
      <w:pPr>
        <w:jc w:val="center"/>
        <w:rPr>
          <w:rFonts w:ascii="Verdana" w:hAnsi="Verdana"/>
          <w:b/>
        </w:rPr>
      </w:pPr>
    </w:p>
    <w:p w:rsidR="005A62F1" w:rsidRPr="00C96567" w:rsidRDefault="005A62F1" w:rsidP="005A62F1">
      <w:pPr>
        <w:jc w:val="center"/>
        <w:rPr>
          <w:rFonts w:ascii="Verdana" w:hAnsi="Verdana"/>
          <w:b/>
          <w:sz w:val="18"/>
          <w:szCs w:val="18"/>
        </w:rPr>
      </w:pPr>
      <w:r w:rsidRPr="00C96567">
        <w:rPr>
          <w:rFonts w:ascii="Verdana" w:hAnsi="Verdana"/>
          <w:b/>
          <w:sz w:val="18"/>
          <w:szCs w:val="18"/>
        </w:rPr>
        <w:t xml:space="preserve">Інформація </w:t>
      </w:r>
    </w:p>
    <w:p w:rsidR="005A62F1" w:rsidRPr="00C96567" w:rsidRDefault="005A62F1" w:rsidP="00124DF8">
      <w:pPr>
        <w:jc w:val="both"/>
        <w:rPr>
          <w:rFonts w:ascii="Verdana" w:hAnsi="Verdana"/>
          <w:b/>
          <w:sz w:val="18"/>
          <w:szCs w:val="18"/>
        </w:rPr>
      </w:pPr>
      <w:r w:rsidRPr="00C96567">
        <w:rPr>
          <w:rFonts w:ascii="Verdana" w:hAnsi="Verdana"/>
          <w:b/>
          <w:sz w:val="18"/>
          <w:szCs w:val="18"/>
        </w:rPr>
        <w:t xml:space="preserve">про намір </w:t>
      </w:r>
      <w:r w:rsidR="00124DF8" w:rsidRPr="00C96567">
        <w:rPr>
          <w:rFonts w:ascii="Verdana" w:hAnsi="Verdana"/>
          <w:b/>
          <w:sz w:val="18"/>
          <w:szCs w:val="18"/>
        </w:rPr>
        <w:t xml:space="preserve">змінити </w:t>
      </w:r>
      <w:r w:rsidRPr="00C96567">
        <w:rPr>
          <w:rFonts w:ascii="Verdana" w:hAnsi="Verdana"/>
          <w:b/>
          <w:sz w:val="18"/>
          <w:szCs w:val="18"/>
        </w:rPr>
        <w:t>діюч</w:t>
      </w:r>
      <w:r w:rsidR="00124DF8" w:rsidRPr="00C96567">
        <w:rPr>
          <w:rFonts w:ascii="Verdana" w:hAnsi="Verdana"/>
          <w:b/>
          <w:sz w:val="18"/>
          <w:szCs w:val="18"/>
        </w:rPr>
        <w:t>і</w:t>
      </w:r>
      <w:r w:rsidRPr="00C96567">
        <w:rPr>
          <w:rFonts w:ascii="Verdana" w:hAnsi="Verdana"/>
          <w:b/>
          <w:sz w:val="18"/>
          <w:szCs w:val="18"/>
        </w:rPr>
        <w:t xml:space="preserve"> тариф</w:t>
      </w:r>
      <w:r w:rsidR="00124DF8" w:rsidRPr="00C96567">
        <w:rPr>
          <w:rFonts w:ascii="Verdana" w:hAnsi="Verdana"/>
          <w:b/>
          <w:sz w:val="18"/>
          <w:szCs w:val="18"/>
        </w:rPr>
        <w:t>и</w:t>
      </w:r>
      <w:r w:rsidRPr="00C96567">
        <w:rPr>
          <w:rFonts w:ascii="Verdana" w:hAnsi="Verdana"/>
          <w:b/>
          <w:sz w:val="18"/>
          <w:szCs w:val="18"/>
        </w:rPr>
        <w:t xml:space="preserve"> на послуги з централізованого водопостачання та водовідведення, що надаються ТОВ «Трускавецький водоканал»</w:t>
      </w:r>
    </w:p>
    <w:p w:rsidR="005A62F1" w:rsidRPr="00C96567" w:rsidRDefault="005A62F1" w:rsidP="005A62F1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 </w:t>
      </w:r>
      <w:r w:rsidRPr="00C96567">
        <w:rPr>
          <w:rFonts w:ascii="Verdana" w:hAnsi="Verdana"/>
          <w:sz w:val="18"/>
          <w:szCs w:val="18"/>
        </w:rPr>
        <w:t>Керуючись Порядк</w:t>
      </w:r>
      <w:r w:rsidR="00364D30" w:rsidRPr="00C96567">
        <w:rPr>
          <w:rFonts w:ascii="Verdana" w:hAnsi="Verdana"/>
          <w:sz w:val="18"/>
          <w:szCs w:val="18"/>
        </w:rPr>
        <w:t>ом</w:t>
      </w:r>
      <w:r w:rsidRPr="00C96567">
        <w:rPr>
          <w:rFonts w:ascii="Verdana" w:hAnsi="Verdana"/>
          <w:sz w:val="18"/>
          <w:szCs w:val="18"/>
        </w:rPr>
        <w:t xml:space="preserve">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затвердженого наказом Міністерства регіонального розвитку будівництва та житлово-комунального господарства України від 30.07.2012р. №390, ТОВ «Трускавецький водоканал» </w:t>
      </w:r>
      <w:r w:rsidR="00CB0174" w:rsidRPr="00C96567">
        <w:rPr>
          <w:rFonts w:ascii="Verdana" w:hAnsi="Verdana"/>
          <w:sz w:val="18"/>
          <w:szCs w:val="18"/>
        </w:rPr>
        <w:t>оприлюднює</w:t>
      </w:r>
      <w:r w:rsidRPr="00C96567">
        <w:rPr>
          <w:rFonts w:ascii="Verdana" w:hAnsi="Verdana"/>
          <w:sz w:val="18"/>
          <w:szCs w:val="18"/>
        </w:rPr>
        <w:t xml:space="preserve"> інформацію про намір здійснити зміну діючих тарифів на послуги з централізованого в</w:t>
      </w:r>
      <w:r w:rsidR="00FD1E8A" w:rsidRPr="00C96567">
        <w:rPr>
          <w:rFonts w:ascii="Verdana" w:hAnsi="Verdana"/>
          <w:sz w:val="18"/>
          <w:szCs w:val="18"/>
        </w:rPr>
        <w:t>одопостачання та водовідведення.</w:t>
      </w:r>
    </w:p>
    <w:p w:rsidR="00FD1E8A" w:rsidRPr="00C96567" w:rsidRDefault="00FD1E8A" w:rsidP="00DC2983">
      <w:pPr>
        <w:pStyle w:val="a4"/>
        <w:spacing w:line="240" w:lineRule="auto"/>
        <w:ind w:left="1068"/>
        <w:jc w:val="both"/>
        <w:rPr>
          <w:rFonts w:ascii="Verdana" w:hAnsi="Verdana"/>
          <w:b/>
          <w:i/>
          <w:sz w:val="18"/>
          <w:szCs w:val="18"/>
        </w:rPr>
      </w:pPr>
      <w:r w:rsidRPr="00C96567">
        <w:rPr>
          <w:rFonts w:ascii="Verdana" w:hAnsi="Verdana"/>
          <w:b/>
          <w:i/>
          <w:sz w:val="18"/>
          <w:szCs w:val="18"/>
        </w:rPr>
        <w:t>Обґрунтування причини зміни тарифів</w:t>
      </w:r>
    </w:p>
    <w:p w:rsidR="00472246" w:rsidRPr="00C96567" w:rsidRDefault="00FD1E8A" w:rsidP="0047224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 xml:space="preserve">На </w:t>
      </w:r>
      <w:r w:rsidR="00CB0174" w:rsidRPr="00C96567">
        <w:rPr>
          <w:rFonts w:ascii="Verdana" w:hAnsi="Verdana"/>
          <w:sz w:val="18"/>
          <w:szCs w:val="18"/>
        </w:rPr>
        <w:t>даний час</w:t>
      </w:r>
      <w:r w:rsidRPr="00C96567">
        <w:rPr>
          <w:rFonts w:ascii="Verdana" w:hAnsi="Verdana"/>
          <w:sz w:val="18"/>
          <w:szCs w:val="18"/>
        </w:rPr>
        <w:t xml:space="preserve"> для здійснення нарахувань за надані послуги з централізованого водопостачання та водовідведення застосовуються тарифи, </w:t>
      </w:r>
      <w:r w:rsidR="003506E3" w:rsidRPr="00C96567">
        <w:rPr>
          <w:rFonts w:ascii="Verdana" w:hAnsi="Verdana"/>
          <w:sz w:val="18"/>
          <w:szCs w:val="18"/>
        </w:rPr>
        <w:t xml:space="preserve">затверджені рішенням виконавчого комітету </w:t>
      </w:r>
      <w:r w:rsidR="00CB0174" w:rsidRPr="00C96567">
        <w:rPr>
          <w:rFonts w:ascii="Verdana" w:hAnsi="Verdana"/>
          <w:sz w:val="18"/>
          <w:szCs w:val="18"/>
        </w:rPr>
        <w:t>Т</w:t>
      </w:r>
      <w:r w:rsidR="003506E3" w:rsidRPr="00C96567">
        <w:rPr>
          <w:rFonts w:ascii="Verdana" w:hAnsi="Verdana"/>
          <w:sz w:val="18"/>
          <w:szCs w:val="18"/>
        </w:rPr>
        <w:t xml:space="preserve">рускавецької міської ради </w:t>
      </w:r>
      <w:r w:rsidRPr="00C96567">
        <w:rPr>
          <w:rFonts w:ascii="Verdana" w:hAnsi="Verdana"/>
          <w:sz w:val="18"/>
          <w:szCs w:val="18"/>
        </w:rPr>
        <w:t xml:space="preserve">від </w:t>
      </w:r>
      <w:r w:rsidR="001B1B5F">
        <w:rPr>
          <w:rFonts w:ascii="Verdana" w:hAnsi="Verdana"/>
          <w:sz w:val="18"/>
          <w:szCs w:val="18"/>
        </w:rPr>
        <w:t>21</w:t>
      </w:r>
      <w:r w:rsidR="00364D30" w:rsidRPr="00C96567">
        <w:rPr>
          <w:rFonts w:ascii="Verdana" w:hAnsi="Verdana"/>
          <w:sz w:val="18"/>
          <w:szCs w:val="18"/>
        </w:rPr>
        <w:t>.</w:t>
      </w:r>
      <w:r w:rsidR="001B1B5F">
        <w:rPr>
          <w:rFonts w:ascii="Verdana" w:hAnsi="Verdana"/>
          <w:sz w:val="18"/>
          <w:szCs w:val="18"/>
        </w:rPr>
        <w:t>03</w:t>
      </w:r>
      <w:r w:rsidR="00364D30" w:rsidRPr="00C96567">
        <w:rPr>
          <w:rFonts w:ascii="Verdana" w:hAnsi="Verdana"/>
          <w:sz w:val="18"/>
          <w:szCs w:val="18"/>
        </w:rPr>
        <w:t>.201</w:t>
      </w:r>
      <w:r w:rsidR="001B1B5F">
        <w:rPr>
          <w:rFonts w:ascii="Verdana" w:hAnsi="Verdana"/>
          <w:sz w:val="18"/>
          <w:szCs w:val="18"/>
        </w:rPr>
        <w:t>9</w:t>
      </w:r>
      <w:r w:rsidRPr="00C96567">
        <w:rPr>
          <w:rFonts w:ascii="Verdana" w:hAnsi="Verdana"/>
          <w:sz w:val="18"/>
          <w:szCs w:val="18"/>
        </w:rPr>
        <w:t xml:space="preserve"> року №</w:t>
      </w:r>
      <w:r w:rsidR="001B1B5F">
        <w:rPr>
          <w:rFonts w:ascii="Verdana" w:hAnsi="Verdana"/>
          <w:sz w:val="18"/>
          <w:szCs w:val="18"/>
        </w:rPr>
        <w:t>31</w:t>
      </w:r>
      <w:r w:rsidRPr="00C96567">
        <w:rPr>
          <w:rFonts w:ascii="Verdana" w:hAnsi="Verdana"/>
          <w:sz w:val="18"/>
          <w:szCs w:val="18"/>
        </w:rPr>
        <w:t xml:space="preserve">, які набули чинності з </w:t>
      </w:r>
      <w:r w:rsidR="001B1B5F">
        <w:rPr>
          <w:rFonts w:ascii="Verdana" w:hAnsi="Verdana"/>
          <w:sz w:val="18"/>
          <w:szCs w:val="18"/>
        </w:rPr>
        <w:t>07.04.2019</w:t>
      </w:r>
      <w:r w:rsidR="00364D30" w:rsidRPr="00C96567">
        <w:rPr>
          <w:rFonts w:ascii="Verdana" w:hAnsi="Verdana"/>
          <w:sz w:val="18"/>
          <w:szCs w:val="18"/>
        </w:rPr>
        <w:t>р.</w:t>
      </w:r>
    </w:p>
    <w:p w:rsidR="00BC1F86" w:rsidRPr="00C96567" w:rsidRDefault="00BC1F86" w:rsidP="00BC1F86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>Розмір тарифів та фактична собівартість послуг з централізованого водопостачання та водовідведення:</w:t>
      </w:r>
    </w:p>
    <w:tbl>
      <w:tblPr>
        <w:tblStyle w:val="a3"/>
        <w:tblW w:w="9923" w:type="dxa"/>
        <w:tblInd w:w="108" w:type="dxa"/>
        <w:tblLayout w:type="fixed"/>
        <w:tblLook w:val="01E0"/>
      </w:tblPr>
      <w:tblGrid>
        <w:gridCol w:w="614"/>
        <w:gridCol w:w="5085"/>
        <w:gridCol w:w="1134"/>
        <w:gridCol w:w="1276"/>
        <w:gridCol w:w="1814"/>
      </w:tblGrid>
      <w:tr w:rsidR="00BC1F86" w:rsidRPr="00C96567" w:rsidTr="00CE72C4">
        <w:trPr>
          <w:trHeight w:val="321"/>
        </w:trPr>
        <w:tc>
          <w:tcPr>
            <w:tcW w:w="614" w:type="dxa"/>
            <w:vMerge w:val="restart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№</w:t>
            </w:r>
          </w:p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з/п</w:t>
            </w:r>
          </w:p>
        </w:tc>
        <w:tc>
          <w:tcPr>
            <w:tcW w:w="5085" w:type="dxa"/>
            <w:vMerge w:val="restart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Показники</w:t>
            </w:r>
          </w:p>
        </w:tc>
        <w:tc>
          <w:tcPr>
            <w:tcW w:w="2410" w:type="dxa"/>
            <w:gridSpan w:val="2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Тарифи на послуги з</w:t>
            </w:r>
          </w:p>
        </w:tc>
        <w:tc>
          <w:tcPr>
            <w:tcW w:w="1814" w:type="dxa"/>
            <w:vMerge w:val="restart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Тариф на послуги з централізованого водопостачання та водовідведення разом</w:t>
            </w:r>
          </w:p>
        </w:tc>
      </w:tr>
      <w:tr w:rsidR="00BC1F86" w:rsidRPr="00C96567" w:rsidTr="00CE72C4">
        <w:tc>
          <w:tcPr>
            <w:tcW w:w="614" w:type="dxa"/>
            <w:vMerge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5" w:type="dxa"/>
            <w:vMerge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F3353">
              <w:rPr>
                <w:rFonts w:ascii="Verdana" w:hAnsi="Verdana"/>
                <w:bCs/>
                <w:sz w:val="16"/>
                <w:szCs w:val="16"/>
                <w:lang w:eastAsia="ru-RU"/>
              </w:rPr>
              <w:t>централізованого водопостачання</w:t>
            </w:r>
          </w:p>
        </w:tc>
        <w:tc>
          <w:tcPr>
            <w:tcW w:w="1276" w:type="dxa"/>
            <w:vAlign w:val="center"/>
          </w:tcPr>
          <w:p w:rsidR="00BC1F86" w:rsidRPr="001F3353" w:rsidRDefault="00BC1F86" w:rsidP="00645C9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F3353">
              <w:rPr>
                <w:rFonts w:ascii="Verdana" w:hAnsi="Verdana"/>
                <w:bCs/>
                <w:sz w:val="16"/>
                <w:szCs w:val="16"/>
                <w:lang w:eastAsia="ru-RU"/>
              </w:rPr>
              <w:t>централізованого водовідведення</w:t>
            </w:r>
          </w:p>
        </w:tc>
        <w:tc>
          <w:tcPr>
            <w:tcW w:w="1814" w:type="dxa"/>
            <w:vMerge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BC1F86" w:rsidRPr="00C96567" w:rsidTr="00CE72C4">
        <w:trPr>
          <w:trHeight w:val="182"/>
        </w:trPr>
        <w:tc>
          <w:tcPr>
            <w:tcW w:w="614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085" w:type="dxa"/>
          </w:tcPr>
          <w:p w:rsidR="00BC1F86" w:rsidRPr="00C96567" w:rsidRDefault="00BC1F86" w:rsidP="00645C93">
            <w:pPr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 xml:space="preserve">Розмір діючих тарифів з </w:t>
            </w:r>
            <w:r w:rsidRPr="00C96567">
              <w:rPr>
                <w:rFonts w:ascii="Verdana" w:hAnsi="Verdana"/>
                <w:sz w:val="18"/>
                <w:szCs w:val="18"/>
                <w:lang w:eastAsia="ru-RU"/>
              </w:rPr>
              <w:t>ПДВ, грн./куб м</w:t>
            </w:r>
          </w:p>
        </w:tc>
        <w:tc>
          <w:tcPr>
            <w:tcW w:w="1134" w:type="dxa"/>
          </w:tcPr>
          <w:p w:rsidR="00BC1F86" w:rsidRPr="00C96567" w:rsidRDefault="001B1B5F" w:rsidP="001B1B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23,24</w:t>
            </w:r>
          </w:p>
        </w:tc>
        <w:tc>
          <w:tcPr>
            <w:tcW w:w="1276" w:type="dxa"/>
          </w:tcPr>
          <w:p w:rsidR="00BC1F86" w:rsidRPr="00C96567" w:rsidRDefault="001B1B5F" w:rsidP="00CE72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5,47</w:t>
            </w:r>
          </w:p>
        </w:tc>
        <w:tc>
          <w:tcPr>
            <w:tcW w:w="1814" w:type="dxa"/>
          </w:tcPr>
          <w:p w:rsidR="00BC1F86" w:rsidRPr="00C96567" w:rsidRDefault="001B1B5F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28,71</w:t>
            </w:r>
          </w:p>
        </w:tc>
      </w:tr>
      <w:tr w:rsidR="00BC1F86" w:rsidRPr="00C96567" w:rsidTr="00CE72C4">
        <w:tc>
          <w:tcPr>
            <w:tcW w:w="614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085" w:type="dxa"/>
          </w:tcPr>
          <w:p w:rsidR="00BC1F86" w:rsidRPr="00C96567" w:rsidRDefault="00BC1F86" w:rsidP="00645C9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 xml:space="preserve">Розмір діючих тарифів без </w:t>
            </w:r>
            <w:r w:rsidRPr="00C96567">
              <w:rPr>
                <w:rFonts w:ascii="Verdana" w:hAnsi="Verdana"/>
                <w:sz w:val="18"/>
                <w:szCs w:val="18"/>
                <w:lang w:eastAsia="ru-RU"/>
              </w:rPr>
              <w:t>ПДВ, грн./куб м</w:t>
            </w:r>
          </w:p>
        </w:tc>
        <w:tc>
          <w:tcPr>
            <w:tcW w:w="1134" w:type="dxa"/>
          </w:tcPr>
          <w:p w:rsidR="00BC1F86" w:rsidRPr="00C96567" w:rsidRDefault="001B1B5F" w:rsidP="001B1B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19,37</w:t>
            </w:r>
          </w:p>
        </w:tc>
        <w:tc>
          <w:tcPr>
            <w:tcW w:w="1276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4,5</w:t>
            </w:r>
            <w:r w:rsidR="001B1B5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:rsidR="00BC1F86" w:rsidRPr="00C96567" w:rsidRDefault="001B1B5F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23,93</w:t>
            </w:r>
          </w:p>
        </w:tc>
      </w:tr>
      <w:tr w:rsidR="00BC1F86" w:rsidRPr="00C96567" w:rsidTr="00CE72C4">
        <w:tc>
          <w:tcPr>
            <w:tcW w:w="614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085" w:type="dxa"/>
          </w:tcPr>
          <w:p w:rsidR="00BC1F86" w:rsidRPr="00C96567" w:rsidRDefault="00BC1F86" w:rsidP="00645C9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 xml:space="preserve">Фактична собівартість послуг, без ПДВ </w:t>
            </w:r>
            <w:r w:rsidRPr="00CE72C4">
              <w:rPr>
                <w:rFonts w:ascii="Verdana" w:hAnsi="Verdana"/>
                <w:sz w:val="16"/>
                <w:szCs w:val="16"/>
                <w:lang w:eastAsia="ru-RU"/>
              </w:rPr>
              <w:t>грн./куб м</w:t>
            </w:r>
          </w:p>
        </w:tc>
        <w:tc>
          <w:tcPr>
            <w:tcW w:w="1134" w:type="dxa"/>
          </w:tcPr>
          <w:p w:rsidR="00BC1F86" w:rsidRPr="00901ACE" w:rsidRDefault="00887D94" w:rsidP="00887D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1ACE">
              <w:rPr>
                <w:rFonts w:ascii="Verdana" w:hAnsi="Verdana"/>
                <w:sz w:val="18"/>
                <w:szCs w:val="18"/>
              </w:rPr>
              <w:t>19,91</w:t>
            </w:r>
          </w:p>
        </w:tc>
        <w:tc>
          <w:tcPr>
            <w:tcW w:w="1276" w:type="dxa"/>
          </w:tcPr>
          <w:p w:rsidR="00BC1F86" w:rsidRPr="00901ACE" w:rsidRDefault="009A2908" w:rsidP="00887D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1ACE">
              <w:rPr>
                <w:rFonts w:ascii="Verdana" w:hAnsi="Verdana"/>
                <w:sz w:val="18"/>
                <w:szCs w:val="18"/>
              </w:rPr>
              <w:t>4,</w:t>
            </w:r>
            <w:r w:rsidR="00887D94" w:rsidRPr="00901ACE">
              <w:rPr>
                <w:rFonts w:ascii="Verdana" w:hAnsi="Verdana"/>
                <w:sz w:val="18"/>
                <w:szCs w:val="18"/>
              </w:rPr>
              <w:t>83</w:t>
            </w:r>
          </w:p>
        </w:tc>
        <w:tc>
          <w:tcPr>
            <w:tcW w:w="1814" w:type="dxa"/>
          </w:tcPr>
          <w:p w:rsidR="00BC1F86" w:rsidRPr="00C96567" w:rsidRDefault="009A2908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887D94">
              <w:rPr>
                <w:rFonts w:ascii="Verdana" w:hAnsi="Verdana"/>
                <w:sz w:val="18"/>
                <w:szCs w:val="18"/>
              </w:rPr>
              <w:t>4,74</w:t>
            </w:r>
          </w:p>
        </w:tc>
      </w:tr>
      <w:tr w:rsidR="00BC1F86" w:rsidRPr="00C96567" w:rsidTr="00CE72C4">
        <w:tc>
          <w:tcPr>
            <w:tcW w:w="614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085" w:type="dxa"/>
          </w:tcPr>
          <w:p w:rsidR="00BC1F86" w:rsidRPr="00C96567" w:rsidRDefault="00BC1F86" w:rsidP="00645C9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Рівень відшкодування діючим тарифом фактичної собівартості, %</w:t>
            </w:r>
          </w:p>
        </w:tc>
        <w:tc>
          <w:tcPr>
            <w:tcW w:w="1134" w:type="dxa"/>
          </w:tcPr>
          <w:p w:rsidR="00BC1F86" w:rsidRPr="00901ACE" w:rsidRDefault="009A2908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1ACE">
              <w:rPr>
                <w:rFonts w:ascii="Verdana" w:hAnsi="Verdana"/>
                <w:sz w:val="18"/>
                <w:szCs w:val="18"/>
              </w:rPr>
              <w:t>9</w:t>
            </w:r>
            <w:r w:rsidR="00887D94" w:rsidRPr="00901ACE">
              <w:rPr>
                <w:rFonts w:ascii="Verdana" w:hAnsi="Verdana"/>
                <w:sz w:val="18"/>
                <w:szCs w:val="18"/>
              </w:rPr>
              <w:t>7,3</w:t>
            </w:r>
          </w:p>
        </w:tc>
        <w:tc>
          <w:tcPr>
            <w:tcW w:w="1276" w:type="dxa"/>
          </w:tcPr>
          <w:p w:rsidR="00BC1F86" w:rsidRPr="00901ACE" w:rsidRDefault="009A2908" w:rsidP="00887D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1ACE">
              <w:rPr>
                <w:rFonts w:ascii="Verdana" w:hAnsi="Verdana"/>
                <w:sz w:val="18"/>
                <w:szCs w:val="18"/>
              </w:rPr>
              <w:t>9</w:t>
            </w:r>
            <w:r w:rsidR="00887D94" w:rsidRPr="00901ACE">
              <w:rPr>
                <w:rFonts w:ascii="Verdana" w:hAnsi="Verdana"/>
                <w:sz w:val="18"/>
                <w:szCs w:val="18"/>
              </w:rPr>
              <w:t>4,4</w:t>
            </w:r>
          </w:p>
        </w:tc>
        <w:tc>
          <w:tcPr>
            <w:tcW w:w="1814" w:type="dxa"/>
          </w:tcPr>
          <w:p w:rsidR="00BC1F86" w:rsidRPr="00C96567" w:rsidRDefault="00887D94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96,7</w:t>
            </w:r>
          </w:p>
        </w:tc>
      </w:tr>
      <w:tr w:rsidR="00BC1F86" w:rsidRPr="00C96567" w:rsidTr="00CE72C4">
        <w:tc>
          <w:tcPr>
            <w:tcW w:w="614" w:type="dxa"/>
          </w:tcPr>
          <w:p w:rsidR="00BC1F86" w:rsidRPr="00C96567" w:rsidRDefault="00BC1F86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085" w:type="dxa"/>
          </w:tcPr>
          <w:p w:rsidR="00BC1F86" w:rsidRPr="00C96567" w:rsidRDefault="00BC1F86" w:rsidP="00645C9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C96567">
              <w:rPr>
                <w:rFonts w:ascii="Verdana" w:hAnsi="Verdana"/>
                <w:sz w:val="18"/>
                <w:szCs w:val="18"/>
              </w:rPr>
              <w:t>Плановий економічно обґрунтований тариф з ПДВ,</w:t>
            </w:r>
            <w:r w:rsidRPr="00C96567">
              <w:rPr>
                <w:rFonts w:ascii="Verdana" w:hAnsi="Verdana"/>
                <w:sz w:val="18"/>
                <w:szCs w:val="18"/>
                <w:lang w:eastAsia="ru-RU"/>
              </w:rPr>
              <w:t xml:space="preserve"> грн./куб м</w:t>
            </w:r>
          </w:p>
        </w:tc>
        <w:tc>
          <w:tcPr>
            <w:tcW w:w="1134" w:type="dxa"/>
          </w:tcPr>
          <w:p w:rsidR="00BC1F86" w:rsidRPr="00C96567" w:rsidRDefault="00887D94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24,</w:t>
            </w:r>
            <w:r w:rsidR="007A6CEC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BC1F86" w:rsidRPr="00FC1831" w:rsidRDefault="00887D94" w:rsidP="00645C9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5,</w:t>
            </w:r>
            <w:r w:rsidR="007A6CEC">
              <w:rPr>
                <w:rFonts w:ascii="Verdana" w:hAnsi="Verdana"/>
                <w:sz w:val="18"/>
                <w:szCs w:val="18"/>
              </w:rPr>
              <w:t>98</w:t>
            </w:r>
          </w:p>
        </w:tc>
        <w:tc>
          <w:tcPr>
            <w:tcW w:w="1814" w:type="dxa"/>
          </w:tcPr>
          <w:p w:rsidR="00BC1F86" w:rsidRPr="00C96567" w:rsidRDefault="007A6CEC" w:rsidP="00645C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30,44</w:t>
            </w:r>
          </w:p>
        </w:tc>
      </w:tr>
    </w:tbl>
    <w:p w:rsidR="00E27875" w:rsidRPr="00C96567" w:rsidRDefault="00C96567" w:rsidP="00BC1F86">
      <w:pPr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 xml:space="preserve">      Діючі</w:t>
      </w:r>
      <w:r w:rsidR="00BC1F86" w:rsidRPr="00C96567">
        <w:rPr>
          <w:rFonts w:ascii="Verdana" w:hAnsi="Verdana"/>
          <w:sz w:val="18"/>
          <w:szCs w:val="18"/>
        </w:rPr>
        <w:t xml:space="preserve"> тарифи не відповідають фактичній собівартості </w:t>
      </w:r>
      <w:r w:rsidR="00E27875" w:rsidRPr="00C96567">
        <w:rPr>
          <w:rFonts w:ascii="Verdana" w:hAnsi="Verdana"/>
          <w:sz w:val="18"/>
          <w:szCs w:val="18"/>
        </w:rPr>
        <w:t>виробництва послуг.</w:t>
      </w:r>
    </w:p>
    <w:p w:rsidR="0064728D" w:rsidRPr="00C96567" w:rsidRDefault="00CE72C4" w:rsidP="00FF65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Причиною перегляду тарифів є </w:t>
      </w:r>
      <w:r w:rsidR="00C96567" w:rsidRPr="00C96567">
        <w:rPr>
          <w:rFonts w:ascii="Verdana" w:hAnsi="Verdana"/>
          <w:sz w:val="18"/>
          <w:szCs w:val="18"/>
        </w:rPr>
        <w:t>чергове</w:t>
      </w:r>
      <w:r w:rsidR="00FC1831">
        <w:rPr>
          <w:rFonts w:ascii="Verdana" w:hAnsi="Verdana"/>
          <w:sz w:val="18"/>
          <w:szCs w:val="18"/>
        </w:rPr>
        <w:t xml:space="preserve"> </w:t>
      </w:r>
      <w:r w:rsidR="00E27875" w:rsidRPr="00C96567">
        <w:rPr>
          <w:rFonts w:ascii="Verdana" w:hAnsi="Verdana"/>
          <w:sz w:val="18"/>
          <w:szCs w:val="18"/>
        </w:rPr>
        <w:t>зростання тарифів</w:t>
      </w:r>
      <w:r w:rsidR="00FC1831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КП</w:t>
      </w:r>
      <w:proofErr w:type="spellEnd"/>
      <w:r>
        <w:rPr>
          <w:rFonts w:ascii="Verdana" w:hAnsi="Verdana"/>
          <w:sz w:val="18"/>
          <w:szCs w:val="18"/>
        </w:rPr>
        <w:t xml:space="preserve"> «</w:t>
      </w:r>
      <w:proofErr w:type="spellStart"/>
      <w:r>
        <w:rPr>
          <w:rFonts w:ascii="Verdana" w:hAnsi="Verdana"/>
          <w:sz w:val="18"/>
          <w:szCs w:val="18"/>
        </w:rPr>
        <w:t>Дрогобичводоканал</w:t>
      </w:r>
      <w:proofErr w:type="spellEnd"/>
      <w:r>
        <w:rPr>
          <w:rFonts w:ascii="Verdana" w:hAnsi="Verdana"/>
          <w:sz w:val="18"/>
          <w:szCs w:val="18"/>
        </w:rPr>
        <w:t xml:space="preserve">» </w:t>
      </w:r>
      <w:r w:rsidR="00FF65EC" w:rsidRPr="00FC1831">
        <w:rPr>
          <w:rFonts w:ascii="Verdana" w:hAnsi="Verdana"/>
          <w:sz w:val="18"/>
          <w:szCs w:val="18"/>
        </w:rPr>
        <w:t xml:space="preserve">на </w:t>
      </w:r>
      <w:r w:rsidR="00901ACE">
        <w:rPr>
          <w:rFonts w:ascii="Verdana" w:hAnsi="Verdana"/>
          <w:sz w:val="18"/>
          <w:szCs w:val="18"/>
        </w:rPr>
        <w:t>4,5</w:t>
      </w:r>
      <w:r w:rsidR="00FF65EC" w:rsidRPr="00C96567">
        <w:rPr>
          <w:rFonts w:ascii="Verdana" w:hAnsi="Verdana"/>
          <w:sz w:val="18"/>
          <w:szCs w:val="18"/>
        </w:rPr>
        <w:t>%, в тому числі н</w:t>
      </w:r>
      <w:r w:rsidR="00E27875" w:rsidRPr="00C96567">
        <w:rPr>
          <w:rFonts w:ascii="Verdana" w:hAnsi="Verdana"/>
          <w:sz w:val="18"/>
          <w:szCs w:val="18"/>
        </w:rPr>
        <w:t xml:space="preserve">а послуги з водопостачання тарифи зросли </w:t>
      </w:r>
      <w:r>
        <w:rPr>
          <w:rFonts w:ascii="Verdana" w:hAnsi="Verdana"/>
          <w:sz w:val="18"/>
          <w:szCs w:val="18"/>
        </w:rPr>
        <w:t xml:space="preserve">на </w:t>
      </w:r>
      <w:r w:rsidR="00FC1831" w:rsidRPr="00FC1831">
        <w:rPr>
          <w:rFonts w:ascii="Verdana" w:hAnsi="Verdana"/>
          <w:sz w:val="18"/>
          <w:szCs w:val="18"/>
        </w:rPr>
        <w:t>3</w:t>
      </w:r>
      <w:r w:rsidR="00901ACE">
        <w:rPr>
          <w:rFonts w:ascii="Verdana" w:hAnsi="Verdana"/>
          <w:sz w:val="18"/>
          <w:szCs w:val="18"/>
        </w:rPr>
        <w:t>,2</w:t>
      </w:r>
      <w:r w:rsidRPr="00FC1831">
        <w:rPr>
          <w:rFonts w:ascii="Verdana" w:hAnsi="Verdana"/>
          <w:sz w:val="18"/>
          <w:szCs w:val="18"/>
        </w:rPr>
        <w:t>%</w:t>
      </w:r>
      <w:r>
        <w:rPr>
          <w:rFonts w:ascii="Verdana" w:hAnsi="Verdana"/>
          <w:sz w:val="18"/>
          <w:szCs w:val="18"/>
        </w:rPr>
        <w:t xml:space="preserve"> (</w:t>
      </w:r>
      <w:r w:rsidR="00E27875" w:rsidRPr="00C96567">
        <w:rPr>
          <w:rFonts w:ascii="Verdana" w:hAnsi="Verdana"/>
          <w:sz w:val="18"/>
          <w:szCs w:val="18"/>
        </w:rPr>
        <w:t xml:space="preserve">з </w:t>
      </w:r>
      <w:r w:rsidR="00FC1831">
        <w:rPr>
          <w:rFonts w:ascii="Verdana" w:hAnsi="Verdana"/>
          <w:sz w:val="18"/>
          <w:szCs w:val="18"/>
        </w:rPr>
        <w:t>5,94</w:t>
      </w:r>
      <w:r w:rsidR="00E27875" w:rsidRPr="00C965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до </w:t>
      </w:r>
      <w:r w:rsidR="00FC1831">
        <w:rPr>
          <w:rFonts w:ascii="Verdana" w:hAnsi="Verdana"/>
          <w:sz w:val="18"/>
          <w:szCs w:val="18"/>
        </w:rPr>
        <w:t xml:space="preserve">6,13) </w:t>
      </w:r>
      <w:r w:rsidR="00E27875" w:rsidRPr="00C96567">
        <w:rPr>
          <w:rFonts w:ascii="Verdana" w:hAnsi="Verdana"/>
          <w:sz w:val="18"/>
          <w:szCs w:val="18"/>
        </w:rPr>
        <w:t xml:space="preserve"> грн. за 1 куб м (без ПДВ</w:t>
      </w:r>
      <w:r>
        <w:rPr>
          <w:rFonts w:ascii="Verdana" w:hAnsi="Verdana"/>
          <w:sz w:val="18"/>
          <w:szCs w:val="18"/>
        </w:rPr>
        <w:t>)</w:t>
      </w:r>
      <w:r w:rsidR="00E27875" w:rsidRPr="00C96567">
        <w:rPr>
          <w:rFonts w:ascii="Verdana" w:hAnsi="Verdana"/>
          <w:sz w:val="18"/>
          <w:szCs w:val="18"/>
        </w:rPr>
        <w:t xml:space="preserve">), на послуги з водовідведення  - </w:t>
      </w:r>
      <w:r w:rsidR="00FC1831">
        <w:rPr>
          <w:rFonts w:ascii="Verdana" w:hAnsi="Verdana"/>
          <w:sz w:val="18"/>
          <w:szCs w:val="18"/>
        </w:rPr>
        <w:t>8,7%</w:t>
      </w:r>
      <w:r>
        <w:rPr>
          <w:rFonts w:ascii="Verdana" w:hAnsi="Verdana"/>
          <w:sz w:val="18"/>
          <w:szCs w:val="18"/>
        </w:rPr>
        <w:t xml:space="preserve"> (</w:t>
      </w:r>
      <w:r w:rsidR="00E27875" w:rsidRPr="00C96567">
        <w:rPr>
          <w:rFonts w:ascii="Verdana" w:hAnsi="Verdana"/>
          <w:sz w:val="18"/>
          <w:szCs w:val="18"/>
        </w:rPr>
        <w:t>з 1,</w:t>
      </w:r>
      <w:r w:rsidR="00FC1831">
        <w:rPr>
          <w:rFonts w:ascii="Verdana" w:hAnsi="Verdana"/>
          <w:sz w:val="18"/>
          <w:szCs w:val="18"/>
        </w:rPr>
        <w:t>83</w:t>
      </w:r>
      <w:r w:rsidR="00E27875" w:rsidRPr="00C96567">
        <w:rPr>
          <w:rFonts w:ascii="Verdana" w:hAnsi="Verdana"/>
          <w:sz w:val="18"/>
          <w:szCs w:val="18"/>
        </w:rPr>
        <w:t xml:space="preserve"> до 1,</w:t>
      </w:r>
      <w:r w:rsidR="00FC1831">
        <w:rPr>
          <w:rFonts w:ascii="Verdana" w:hAnsi="Verdana"/>
          <w:sz w:val="18"/>
          <w:szCs w:val="18"/>
        </w:rPr>
        <w:t>99)</w:t>
      </w:r>
      <w:r w:rsidR="00E27875" w:rsidRPr="00C96567">
        <w:rPr>
          <w:rFonts w:ascii="Verdana" w:hAnsi="Verdana"/>
          <w:sz w:val="18"/>
          <w:szCs w:val="18"/>
        </w:rPr>
        <w:t xml:space="preserve"> за 1 куб м (без ПДВ</w:t>
      </w:r>
      <w:r>
        <w:rPr>
          <w:rFonts w:ascii="Verdana" w:hAnsi="Verdana"/>
          <w:sz w:val="18"/>
          <w:szCs w:val="18"/>
        </w:rPr>
        <w:t>)</w:t>
      </w:r>
      <w:r w:rsidR="00E27875" w:rsidRPr="00C96567">
        <w:rPr>
          <w:rFonts w:ascii="Verdana" w:hAnsi="Verdana"/>
          <w:sz w:val="18"/>
          <w:szCs w:val="18"/>
        </w:rPr>
        <w:t xml:space="preserve">).  За час дії встановлених тарифів </w:t>
      </w:r>
      <w:r w:rsidR="005D1CD0" w:rsidRPr="00C96567">
        <w:rPr>
          <w:rFonts w:ascii="Verdana" w:hAnsi="Verdana"/>
          <w:sz w:val="18"/>
          <w:szCs w:val="18"/>
        </w:rPr>
        <w:t>відбул</w:t>
      </w:r>
      <w:r w:rsidR="00E27875" w:rsidRPr="00C96567">
        <w:rPr>
          <w:rFonts w:ascii="Verdana" w:hAnsi="Verdana"/>
          <w:sz w:val="18"/>
          <w:szCs w:val="18"/>
        </w:rPr>
        <w:t>ися зміни за іншими складовими тарифів</w:t>
      </w:r>
      <w:r w:rsidR="00FF65EC" w:rsidRPr="00C96567">
        <w:rPr>
          <w:rFonts w:ascii="Verdana" w:hAnsi="Verdana"/>
          <w:sz w:val="18"/>
          <w:szCs w:val="18"/>
        </w:rPr>
        <w:t>. Так,</w:t>
      </w:r>
      <w:r w:rsidR="005D1CD0" w:rsidRPr="00C96567">
        <w:rPr>
          <w:rFonts w:ascii="Verdana" w:hAnsi="Verdana"/>
          <w:sz w:val="18"/>
          <w:szCs w:val="18"/>
        </w:rPr>
        <w:t xml:space="preserve"> варт</w:t>
      </w:r>
      <w:r w:rsidR="00E27875" w:rsidRPr="00C96567">
        <w:rPr>
          <w:rFonts w:ascii="Verdana" w:hAnsi="Verdana"/>
          <w:sz w:val="18"/>
          <w:szCs w:val="18"/>
        </w:rPr>
        <w:t>ість</w:t>
      </w:r>
      <w:r w:rsidR="005D1CD0" w:rsidRPr="00C96567">
        <w:rPr>
          <w:rFonts w:ascii="Verdana" w:hAnsi="Verdana"/>
          <w:sz w:val="18"/>
          <w:szCs w:val="18"/>
        </w:rPr>
        <w:t xml:space="preserve"> електроенергії </w:t>
      </w:r>
      <w:r w:rsidR="00E27875" w:rsidRPr="00C96567">
        <w:rPr>
          <w:rFonts w:ascii="Verdana" w:hAnsi="Verdana"/>
          <w:sz w:val="18"/>
          <w:szCs w:val="18"/>
        </w:rPr>
        <w:t xml:space="preserve">зросла </w:t>
      </w:r>
      <w:r w:rsidR="005D1CD0" w:rsidRPr="00C96567">
        <w:rPr>
          <w:rFonts w:ascii="Verdana" w:hAnsi="Verdana"/>
          <w:sz w:val="18"/>
          <w:szCs w:val="18"/>
        </w:rPr>
        <w:t xml:space="preserve">на </w:t>
      </w:r>
      <w:r w:rsidR="00754433">
        <w:rPr>
          <w:rFonts w:ascii="Verdana" w:hAnsi="Verdana"/>
          <w:sz w:val="18"/>
          <w:szCs w:val="18"/>
        </w:rPr>
        <w:t>2</w:t>
      </w:r>
      <w:r w:rsidR="005D1CD0" w:rsidRPr="004527E5">
        <w:rPr>
          <w:rFonts w:ascii="Verdana" w:hAnsi="Verdana"/>
          <w:sz w:val="18"/>
          <w:szCs w:val="18"/>
        </w:rPr>
        <w:t>%</w:t>
      </w:r>
      <w:r w:rsidR="005D1CD0" w:rsidRPr="00FC1831">
        <w:rPr>
          <w:rFonts w:ascii="Verdana" w:hAnsi="Verdana"/>
          <w:color w:val="FF0000"/>
          <w:sz w:val="18"/>
          <w:szCs w:val="18"/>
        </w:rPr>
        <w:t xml:space="preserve"> </w:t>
      </w:r>
      <w:r w:rsidR="005D1CD0" w:rsidRPr="00985647">
        <w:rPr>
          <w:rFonts w:ascii="Verdana" w:hAnsi="Verdana"/>
          <w:sz w:val="18"/>
          <w:szCs w:val="18"/>
        </w:rPr>
        <w:t>(з</w:t>
      </w:r>
      <w:r w:rsidR="005D1CD0" w:rsidRPr="00C96567">
        <w:rPr>
          <w:rFonts w:ascii="Verdana" w:hAnsi="Verdana"/>
          <w:sz w:val="18"/>
          <w:szCs w:val="18"/>
        </w:rPr>
        <w:t xml:space="preserve"> </w:t>
      </w:r>
      <w:r w:rsidR="005D1CD0" w:rsidRPr="00901ACE">
        <w:rPr>
          <w:rFonts w:ascii="Verdana" w:hAnsi="Verdana"/>
          <w:sz w:val="18"/>
          <w:szCs w:val="18"/>
        </w:rPr>
        <w:t>2,</w:t>
      </w:r>
      <w:r w:rsidR="004527E5" w:rsidRPr="00901ACE">
        <w:rPr>
          <w:rFonts w:ascii="Verdana" w:hAnsi="Verdana"/>
          <w:sz w:val="18"/>
          <w:szCs w:val="18"/>
        </w:rPr>
        <w:t>51</w:t>
      </w:r>
      <w:r w:rsidR="005D1CD0" w:rsidRPr="00901ACE">
        <w:rPr>
          <w:rFonts w:ascii="Verdana" w:hAnsi="Verdana"/>
          <w:sz w:val="18"/>
          <w:szCs w:val="18"/>
        </w:rPr>
        <w:t xml:space="preserve"> </w:t>
      </w:r>
      <w:r w:rsidRPr="00901ACE">
        <w:rPr>
          <w:rFonts w:ascii="Verdana" w:hAnsi="Verdana"/>
          <w:sz w:val="18"/>
          <w:szCs w:val="18"/>
        </w:rPr>
        <w:t>д</w:t>
      </w:r>
      <w:r w:rsidR="005D1CD0" w:rsidRPr="00901ACE">
        <w:rPr>
          <w:rFonts w:ascii="Verdana" w:hAnsi="Verdana"/>
          <w:sz w:val="18"/>
          <w:szCs w:val="18"/>
        </w:rPr>
        <w:t>о 2,</w:t>
      </w:r>
      <w:r w:rsidR="00754433">
        <w:rPr>
          <w:rFonts w:ascii="Verdana" w:hAnsi="Verdana"/>
          <w:sz w:val="18"/>
          <w:szCs w:val="18"/>
        </w:rPr>
        <w:t>56</w:t>
      </w:r>
      <w:r w:rsidR="005D1CD0" w:rsidRPr="00901ACE">
        <w:rPr>
          <w:rFonts w:ascii="Verdana" w:hAnsi="Verdana"/>
          <w:sz w:val="18"/>
          <w:szCs w:val="18"/>
        </w:rPr>
        <w:t xml:space="preserve"> </w:t>
      </w:r>
      <w:proofErr w:type="spellStart"/>
      <w:r w:rsidR="005D1CD0" w:rsidRPr="00901ACE">
        <w:rPr>
          <w:rFonts w:ascii="Verdana" w:hAnsi="Verdana"/>
          <w:sz w:val="18"/>
          <w:szCs w:val="18"/>
        </w:rPr>
        <w:t>грн</w:t>
      </w:r>
      <w:proofErr w:type="spellEnd"/>
      <w:r w:rsidR="005D1CD0" w:rsidRPr="00C96567">
        <w:rPr>
          <w:rFonts w:ascii="Verdana" w:hAnsi="Verdana"/>
          <w:sz w:val="18"/>
          <w:szCs w:val="18"/>
        </w:rPr>
        <w:t xml:space="preserve"> за 1 кВт</w:t>
      </w:r>
      <w:r>
        <w:rPr>
          <w:rFonts w:ascii="Verdana" w:hAnsi="Verdana"/>
          <w:sz w:val="18"/>
          <w:szCs w:val="18"/>
        </w:rPr>
        <w:t xml:space="preserve"> (без ПДВ)</w:t>
      </w:r>
      <w:r w:rsidR="005D1CD0" w:rsidRPr="00C96567">
        <w:rPr>
          <w:rFonts w:ascii="Verdana" w:hAnsi="Verdana"/>
          <w:sz w:val="18"/>
          <w:szCs w:val="18"/>
        </w:rPr>
        <w:t>)</w:t>
      </w:r>
      <w:r w:rsidR="00FF65EC" w:rsidRPr="00C96567">
        <w:rPr>
          <w:rFonts w:ascii="Verdana" w:hAnsi="Verdana"/>
          <w:sz w:val="18"/>
          <w:szCs w:val="18"/>
        </w:rPr>
        <w:t xml:space="preserve">, </w:t>
      </w:r>
      <w:r w:rsidR="00390826">
        <w:rPr>
          <w:rFonts w:ascii="Verdana" w:hAnsi="Verdana"/>
          <w:sz w:val="18"/>
          <w:szCs w:val="18"/>
        </w:rPr>
        <w:t>заробітна плата зросла загалом на 12%</w:t>
      </w:r>
      <w:r w:rsidR="00FF65EC" w:rsidRPr="00C96567">
        <w:rPr>
          <w:rFonts w:ascii="Verdana" w:hAnsi="Verdana"/>
          <w:sz w:val="18"/>
          <w:szCs w:val="18"/>
        </w:rPr>
        <w:t xml:space="preserve"> </w:t>
      </w:r>
      <w:r w:rsidR="00390826">
        <w:rPr>
          <w:rFonts w:ascii="Verdana" w:hAnsi="Verdana"/>
          <w:sz w:val="18"/>
          <w:szCs w:val="18"/>
        </w:rPr>
        <w:t xml:space="preserve">, а саме збільшення </w:t>
      </w:r>
      <w:r w:rsidR="00FC1831" w:rsidRPr="00901ACE">
        <w:rPr>
          <w:rFonts w:ascii="Verdana" w:hAnsi="Verdana"/>
          <w:sz w:val="18"/>
          <w:szCs w:val="18"/>
        </w:rPr>
        <w:t>прожиткового мінімум</w:t>
      </w:r>
      <w:r w:rsidR="004527E5" w:rsidRPr="00901ACE">
        <w:rPr>
          <w:rFonts w:ascii="Verdana" w:hAnsi="Verdana"/>
          <w:sz w:val="18"/>
          <w:szCs w:val="18"/>
        </w:rPr>
        <w:t>у</w:t>
      </w:r>
      <w:r w:rsidR="00901ACE" w:rsidRPr="00901ACE">
        <w:rPr>
          <w:rFonts w:ascii="Verdana" w:hAnsi="Verdana"/>
          <w:sz w:val="18"/>
          <w:szCs w:val="18"/>
        </w:rPr>
        <w:t xml:space="preserve"> </w:t>
      </w:r>
      <w:r w:rsidR="00FC1831" w:rsidRPr="00901ACE">
        <w:rPr>
          <w:rFonts w:ascii="Verdana" w:hAnsi="Verdana"/>
          <w:sz w:val="18"/>
          <w:szCs w:val="18"/>
        </w:rPr>
        <w:t xml:space="preserve">на </w:t>
      </w:r>
      <w:r w:rsidR="00390826">
        <w:rPr>
          <w:rFonts w:ascii="Verdana" w:hAnsi="Verdana"/>
          <w:sz w:val="18"/>
          <w:szCs w:val="18"/>
        </w:rPr>
        <w:t>5</w:t>
      </w:r>
      <w:r w:rsidR="00FC1831" w:rsidRPr="00901ACE">
        <w:rPr>
          <w:rFonts w:ascii="Verdana" w:hAnsi="Verdana"/>
          <w:sz w:val="18"/>
          <w:szCs w:val="18"/>
        </w:rPr>
        <w:t>%</w:t>
      </w:r>
      <w:r w:rsidR="00390826">
        <w:rPr>
          <w:rFonts w:ascii="Verdana" w:hAnsi="Verdana"/>
          <w:sz w:val="18"/>
          <w:szCs w:val="18"/>
        </w:rPr>
        <w:t xml:space="preserve"> (з 1921 </w:t>
      </w:r>
      <w:proofErr w:type="spellStart"/>
      <w:r w:rsidR="00390826">
        <w:rPr>
          <w:rFonts w:ascii="Verdana" w:hAnsi="Verdana"/>
          <w:sz w:val="18"/>
          <w:szCs w:val="18"/>
        </w:rPr>
        <w:t>грн</w:t>
      </w:r>
      <w:proofErr w:type="spellEnd"/>
      <w:r w:rsidR="00390826">
        <w:rPr>
          <w:rFonts w:ascii="Verdana" w:hAnsi="Verdana"/>
          <w:sz w:val="18"/>
          <w:szCs w:val="18"/>
        </w:rPr>
        <w:t xml:space="preserve"> до 2007 </w:t>
      </w:r>
      <w:proofErr w:type="spellStart"/>
      <w:r w:rsidR="00390826">
        <w:rPr>
          <w:rFonts w:ascii="Verdana" w:hAnsi="Verdana"/>
          <w:sz w:val="18"/>
          <w:szCs w:val="18"/>
        </w:rPr>
        <w:t>грн</w:t>
      </w:r>
      <w:proofErr w:type="spellEnd"/>
      <w:r w:rsidR="00390826">
        <w:rPr>
          <w:rFonts w:ascii="Verdana" w:hAnsi="Verdana"/>
          <w:sz w:val="18"/>
          <w:szCs w:val="18"/>
        </w:rPr>
        <w:t>)</w:t>
      </w:r>
      <w:r w:rsidR="00FC1831" w:rsidRPr="00901ACE">
        <w:rPr>
          <w:rFonts w:ascii="Verdana" w:hAnsi="Verdana"/>
          <w:sz w:val="18"/>
          <w:szCs w:val="18"/>
        </w:rPr>
        <w:t xml:space="preserve"> </w:t>
      </w:r>
      <w:r w:rsidR="00390826">
        <w:rPr>
          <w:rFonts w:ascii="Verdana" w:hAnsi="Verdana"/>
          <w:sz w:val="18"/>
          <w:szCs w:val="18"/>
        </w:rPr>
        <w:t>та</w:t>
      </w:r>
      <w:r w:rsidR="0051238E">
        <w:rPr>
          <w:rFonts w:ascii="Verdana" w:hAnsi="Verdana"/>
          <w:sz w:val="18"/>
          <w:szCs w:val="18"/>
        </w:rPr>
        <w:t xml:space="preserve"> застос</w:t>
      </w:r>
      <w:r w:rsidR="00390826">
        <w:rPr>
          <w:rFonts w:ascii="Verdana" w:hAnsi="Verdana"/>
          <w:sz w:val="18"/>
          <w:szCs w:val="18"/>
        </w:rPr>
        <w:t>у</w:t>
      </w:r>
      <w:r w:rsidR="0051238E">
        <w:rPr>
          <w:rFonts w:ascii="Verdana" w:hAnsi="Verdana"/>
          <w:sz w:val="18"/>
          <w:szCs w:val="18"/>
        </w:rPr>
        <w:t>ван</w:t>
      </w:r>
      <w:r w:rsidR="00390826">
        <w:rPr>
          <w:rFonts w:ascii="Verdana" w:hAnsi="Verdana"/>
          <w:sz w:val="18"/>
          <w:szCs w:val="18"/>
        </w:rPr>
        <w:t>ня галузевого коефіцієнта</w:t>
      </w:r>
      <w:r w:rsidR="0051238E">
        <w:rPr>
          <w:rFonts w:ascii="Verdana" w:hAnsi="Verdana"/>
          <w:sz w:val="18"/>
          <w:szCs w:val="18"/>
        </w:rPr>
        <w:t xml:space="preserve"> коефіцієнт 1,5</w:t>
      </w:r>
      <w:r w:rsidR="006B7247">
        <w:rPr>
          <w:rFonts w:ascii="Verdana" w:hAnsi="Verdana"/>
          <w:sz w:val="18"/>
          <w:szCs w:val="18"/>
        </w:rPr>
        <w:t xml:space="preserve">, </w:t>
      </w:r>
      <w:r w:rsidR="0051238E">
        <w:rPr>
          <w:rFonts w:ascii="Verdana" w:hAnsi="Verdana"/>
          <w:sz w:val="18"/>
          <w:szCs w:val="18"/>
        </w:rPr>
        <w:t xml:space="preserve">що спричинив  ріст заробітної плати на 7% </w:t>
      </w:r>
      <w:r w:rsidR="00754433">
        <w:rPr>
          <w:rFonts w:ascii="Verdana" w:hAnsi="Verdana"/>
          <w:sz w:val="18"/>
          <w:szCs w:val="18"/>
        </w:rPr>
        <w:t xml:space="preserve"> ( з 1,4 до 1,5</w:t>
      </w:r>
      <w:r w:rsidR="00764B62">
        <w:rPr>
          <w:rFonts w:ascii="Verdana" w:hAnsi="Verdana"/>
          <w:sz w:val="18"/>
          <w:szCs w:val="18"/>
        </w:rPr>
        <w:t xml:space="preserve"> </w:t>
      </w:r>
      <w:r w:rsidR="004553DD">
        <w:rPr>
          <w:rFonts w:ascii="Verdana" w:hAnsi="Verdana"/>
          <w:sz w:val="18"/>
          <w:szCs w:val="18"/>
        </w:rPr>
        <w:t>(</w:t>
      </w:r>
      <w:r w:rsidR="00764B62">
        <w:rPr>
          <w:rFonts w:ascii="Verdana" w:hAnsi="Verdana"/>
          <w:sz w:val="18"/>
          <w:szCs w:val="18"/>
        </w:rPr>
        <w:t>Галузевою угодою передбачено застосування коефіцієнту 1,6 з 01.01.2019р.)</w:t>
      </w:r>
      <w:r w:rsidR="00754433">
        <w:rPr>
          <w:rFonts w:ascii="Verdana" w:hAnsi="Verdana"/>
          <w:sz w:val="18"/>
          <w:szCs w:val="18"/>
        </w:rPr>
        <w:t>)</w:t>
      </w:r>
      <w:r w:rsidR="0051238E">
        <w:rPr>
          <w:rFonts w:ascii="Verdana" w:hAnsi="Verdana"/>
          <w:sz w:val="18"/>
          <w:szCs w:val="18"/>
        </w:rPr>
        <w:t>.</w:t>
      </w:r>
      <w:r w:rsidR="00FC1831" w:rsidRPr="00901ACE">
        <w:rPr>
          <w:rFonts w:ascii="Verdana" w:hAnsi="Verdana"/>
          <w:sz w:val="18"/>
          <w:szCs w:val="18"/>
        </w:rPr>
        <w:t xml:space="preserve"> </w:t>
      </w:r>
      <w:r w:rsidR="00C96567" w:rsidRPr="00FC1831">
        <w:rPr>
          <w:rFonts w:ascii="Verdana" w:hAnsi="Verdana"/>
          <w:sz w:val="18"/>
          <w:szCs w:val="18"/>
        </w:rPr>
        <w:t>ТОВ «Трускавецький водоканал» провело розрахунок скоригованих</w:t>
      </w:r>
      <w:r w:rsidR="00C96567" w:rsidRPr="00C96567">
        <w:rPr>
          <w:rFonts w:ascii="Verdana" w:hAnsi="Verdana"/>
          <w:sz w:val="18"/>
          <w:szCs w:val="18"/>
        </w:rPr>
        <w:t xml:space="preserve"> тарифів та подало на розгляд виконавчого комітету Трускавецької міської ради. Перерахунок тарифів здійснено шляхом коригування лише тих складових частин структури тарифів, за якими відбулися зміни.</w:t>
      </w:r>
    </w:p>
    <w:p w:rsidR="005A62F1" w:rsidRPr="00C96567" w:rsidRDefault="005A62F1" w:rsidP="00DC2983">
      <w:pPr>
        <w:shd w:val="clear" w:color="auto" w:fill="FFFFFF"/>
        <w:spacing w:after="251"/>
        <w:jc w:val="both"/>
        <w:rPr>
          <w:rFonts w:ascii="Verdana" w:hAnsi="Verdana"/>
          <w:b/>
          <w:i/>
          <w:sz w:val="18"/>
          <w:szCs w:val="18"/>
        </w:rPr>
      </w:pPr>
      <w:r w:rsidRPr="00C96567">
        <w:rPr>
          <w:rFonts w:ascii="Verdana" w:hAnsi="Verdana"/>
          <w:b/>
          <w:i/>
          <w:sz w:val="18"/>
          <w:szCs w:val="18"/>
        </w:rPr>
        <w:t xml:space="preserve">Загальний розмір </w:t>
      </w:r>
      <w:r w:rsidR="00BF3663" w:rsidRPr="00C96567">
        <w:rPr>
          <w:rFonts w:ascii="Verdana" w:hAnsi="Verdana"/>
          <w:b/>
          <w:i/>
          <w:sz w:val="18"/>
          <w:szCs w:val="18"/>
          <w:lang w:val="ru-RU"/>
        </w:rPr>
        <w:t xml:space="preserve">планового </w:t>
      </w:r>
      <w:r w:rsidRPr="00C96567">
        <w:rPr>
          <w:rFonts w:ascii="Verdana" w:hAnsi="Verdana"/>
          <w:b/>
          <w:i/>
          <w:sz w:val="18"/>
          <w:szCs w:val="18"/>
        </w:rPr>
        <w:t>тарифу та його структура</w:t>
      </w:r>
    </w:p>
    <w:p w:rsidR="005A62F1" w:rsidRPr="00C96567" w:rsidRDefault="005A62F1" w:rsidP="005A62F1">
      <w:pPr>
        <w:spacing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Структура </w:t>
      </w:r>
      <w:r w:rsidR="009D560E"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планових</w:t>
      </w:r>
      <w:r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тарифів  ТОВ «Трускавецький водоканал»</w:t>
      </w:r>
      <w:r w:rsidR="007A48BD"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 послуги з централізованого водопостачання та водовідведення</w:t>
      </w:r>
      <w:r w:rsidR="009D560E" w:rsidRPr="00C96567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для усіх категорій споживачів</w:t>
      </w:r>
    </w:p>
    <w:tbl>
      <w:tblPr>
        <w:tblStyle w:val="a3"/>
        <w:tblW w:w="10031" w:type="dxa"/>
        <w:tblLayout w:type="fixed"/>
        <w:tblLook w:val="01E0"/>
      </w:tblPr>
      <w:tblGrid>
        <w:gridCol w:w="704"/>
        <w:gridCol w:w="4111"/>
        <w:gridCol w:w="1956"/>
        <w:gridCol w:w="1984"/>
        <w:gridCol w:w="1276"/>
      </w:tblGrid>
      <w:tr w:rsidR="005A62F1" w:rsidRPr="00C96567" w:rsidTr="007A48BD">
        <w:trPr>
          <w:trHeight w:val="604"/>
        </w:trPr>
        <w:tc>
          <w:tcPr>
            <w:tcW w:w="704" w:type="dxa"/>
            <w:vMerge w:val="restart"/>
            <w:vAlign w:val="center"/>
          </w:tcPr>
          <w:p w:rsidR="005A62F1" w:rsidRPr="001F3353" w:rsidRDefault="005A62F1" w:rsidP="007A48BD">
            <w:pPr>
              <w:ind w:left="-221" w:firstLine="22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A62F1" w:rsidRPr="001F3353" w:rsidRDefault="005A62F1" w:rsidP="007A48BD">
            <w:pPr>
              <w:ind w:left="-87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>Складові тарифу</w:t>
            </w:r>
          </w:p>
        </w:tc>
        <w:tc>
          <w:tcPr>
            <w:tcW w:w="5216" w:type="dxa"/>
            <w:gridSpan w:val="3"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 xml:space="preserve">Планові витрати </w:t>
            </w:r>
            <w:r w:rsidR="00BF4388" w:rsidRPr="001F3353">
              <w:rPr>
                <w:rFonts w:ascii="Verdana" w:hAnsi="Verdana"/>
                <w:b/>
                <w:sz w:val="16"/>
                <w:szCs w:val="16"/>
              </w:rPr>
              <w:t xml:space="preserve">без ПДВ </w:t>
            </w:r>
            <w:r w:rsidRPr="001F3353">
              <w:rPr>
                <w:rFonts w:ascii="Verdana" w:hAnsi="Verdana"/>
                <w:b/>
                <w:sz w:val="16"/>
                <w:szCs w:val="16"/>
              </w:rPr>
              <w:t>(грн. за 1 куб м) на послуги з</w:t>
            </w:r>
          </w:p>
        </w:tc>
      </w:tr>
      <w:tr w:rsidR="005A62F1" w:rsidRPr="00C96567" w:rsidTr="007A48BD">
        <w:trPr>
          <w:trHeight w:val="510"/>
        </w:trPr>
        <w:tc>
          <w:tcPr>
            <w:tcW w:w="704" w:type="dxa"/>
            <w:vMerge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F3353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централізованого водопостачання</w:t>
            </w:r>
          </w:p>
        </w:tc>
        <w:tc>
          <w:tcPr>
            <w:tcW w:w="1984" w:type="dxa"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 xml:space="preserve">централізованого </w:t>
            </w:r>
            <w:r w:rsidRPr="001F3353">
              <w:rPr>
                <w:rFonts w:ascii="Verdana" w:hAnsi="Verdana"/>
                <w:b/>
                <w:bCs/>
                <w:sz w:val="16"/>
                <w:szCs w:val="16"/>
                <w:lang w:eastAsia="ru-RU"/>
              </w:rPr>
              <w:t>водовідведення</w:t>
            </w:r>
          </w:p>
        </w:tc>
        <w:tc>
          <w:tcPr>
            <w:tcW w:w="1276" w:type="dxa"/>
            <w:vAlign w:val="center"/>
          </w:tcPr>
          <w:p w:rsidR="005A62F1" w:rsidRPr="001F3353" w:rsidRDefault="005A62F1" w:rsidP="007A48BD">
            <w:pPr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F3353">
              <w:rPr>
                <w:rFonts w:ascii="Verdana" w:hAnsi="Verdana"/>
                <w:b/>
                <w:sz w:val="16"/>
                <w:szCs w:val="16"/>
              </w:rPr>
              <w:t>разом</w:t>
            </w:r>
          </w:p>
        </w:tc>
      </w:tr>
      <w:tr w:rsidR="00A4537C" w:rsidRPr="00C96567" w:rsidTr="007A48BD">
        <w:tc>
          <w:tcPr>
            <w:tcW w:w="704" w:type="dxa"/>
          </w:tcPr>
          <w:p w:rsidR="00A4537C" w:rsidRPr="00AD6AF3" w:rsidRDefault="00A4537C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A4537C" w:rsidRPr="00AD6AF3" w:rsidRDefault="00A4537C" w:rsidP="009475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Виробнича собівартість, грн.</w:t>
            </w:r>
          </w:p>
        </w:tc>
        <w:tc>
          <w:tcPr>
            <w:tcW w:w="1956" w:type="dxa"/>
          </w:tcPr>
          <w:p w:rsidR="00A4537C" w:rsidRPr="00AD6AF3" w:rsidRDefault="009A59FD" w:rsidP="00B717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17,85</w:t>
            </w:r>
          </w:p>
        </w:tc>
        <w:tc>
          <w:tcPr>
            <w:tcW w:w="1984" w:type="dxa"/>
          </w:tcPr>
          <w:p w:rsidR="00A4537C" w:rsidRPr="00AD6AF3" w:rsidRDefault="00101107" w:rsidP="00A609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4,</w:t>
            </w:r>
            <w:r w:rsidR="009A59FD">
              <w:rPr>
                <w:rFonts w:ascii="Verdana" w:hAnsi="Verdana"/>
                <w:sz w:val="16"/>
                <w:szCs w:val="16"/>
              </w:rPr>
              <w:t>5</w:t>
            </w:r>
            <w:r w:rsidR="00A6096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4537C" w:rsidRPr="00AD6AF3" w:rsidRDefault="003F038A" w:rsidP="009A59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</w:t>
            </w:r>
            <w:r w:rsidR="009A59FD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A4537C" w:rsidRPr="00C96567" w:rsidTr="007A48BD">
        <w:tc>
          <w:tcPr>
            <w:tcW w:w="704" w:type="dxa"/>
          </w:tcPr>
          <w:p w:rsidR="00A4537C" w:rsidRPr="00AD6AF3" w:rsidRDefault="00A4537C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4111" w:type="dxa"/>
          </w:tcPr>
          <w:p w:rsidR="00A4537C" w:rsidRPr="00AD6AF3" w:rsidRDefault="00A4537C" w:rsidP="009475DC">
            <w:pPr>
              <w:pStyle w:val="a4"/>
              <w:snapToGrid w:val="0"/>
              <w:spacing w:before="100" w:beforeAutospacing="1" w:after="100" w:afterAutospacing="1"/>
              <w:ind w:left="0"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Прямі матеріальні витрати, в т.ч.:</w:t>
            </w:r>
          </w:p>
        </w:tc>
        <w:tc>
          <w:tcPr>
            <w:tcW w:w="1956" w:type="dxa"/>
          </w:tcPr>
          <w:p w:rsidR="00A4537C" w:rsidRPr="00AD6AF3" w:rsidRDefault="009A59FD" w:rsidP="00E60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11,9</w:t>
            </w:r>
            <w:r w:rsidR="007C234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4537C" w:rsidRPr="00AD6AF3" w:rsidRDefault="00A6096E" w:rsidP="008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3,19</w:t>
            </w:r>
          </w:p>
        </w:tc>
        <w:tc>
          <w:tcPr>
            <w:tcW w:w="1276" w:type="dxa"/>
          </w:tcPr>
          <w:p w:rsidR="00A4537C" w:rsidRPr="00AD6AF3" w:rsidRDefault="009A59FD" w:rsidP="001569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15,1</w:t>
            </w:r>
            <w:r w:rsidR="007C234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1.1.1</w:t>
            </w:r>
          </w:p>
        </w:tc>
        <w:tc>
          <w:tcPr>
            <w:tcW w:w="4111" w:type="dxa"/>
          </w:tcPr>
          <w:p w:rsidR="005A62F1" w:rsidRPr="00AD6AF3" w:rsidRDefault="00472246" w:rsidP="009475DC">
            <w:pPr>
              <w:pStyle w:val="a4"/>
              <w:snapToGrid w:val="0"/>
              <w:spacing w:before="100" w:beforeAutospacing="1" w:after="100" w:afterAutospacing="1"/>
              <w:ind w:left="0"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Е</w:t>
            </w:r>
            <w:r w:rsidR="005A62F1" w:rsidRPr="00AD6AF3">
              <w:rPr>
                <w:rFonts w:ascii="Verdana" w:hAnsi="Verdana"/>
                <w:sz w:val="16"/>
                <w:szCs w:val="16"/>
                <w:lang w:eastAsia="ru-RU"/>
              </w:rPr>
              <w:t>лектроенергія</w:t>
            </w:r>
          </w:p>
        </w:tc>
        <w:tc>
          <w:tcPr>
            <w:tcW w:w="1956" w:type="dxa"/>
          </w:tcPr>
          <w:p w:rsidR="005A62F1" w:rsidRPr="00AD6AF3" w:rsidRDefault="009A59FD" w:rsidP="00E60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3,4</w:t>
            </w:r>
            <w:r w:rsidR="00B916B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62F1" w:rsidRPr="00AD6AF3" w:rsidRDefault="009A59FD" w:rsidP="00FF0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3,4</w:t>
            </w:r>
            <w:r w:rsidR="00B916B3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1.1.2</w:t>
            </w:r>
          </w:p>
        </w:tc>
        <w:tc>
          <w:tcPr>
            <w:tcW w:w="4111" w:type="dxa"/>
          </w:tcPr>
          <w:p w:rsidR="005A62F1" w:rsidRPr="00AD6AF3" w:rsidRDefault="005A62F1" w:rsidP="00BF4388">
            <w:pPr>
              <w:snapToGrid w:val="0"/>
              <w:spacing w:before="100" w:beforeAutospacing="1" w:after="100" w:afterAutospacing="1"/>
              <w:ind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покупна вода</w:t>
            </w:r>
            <w:r w:rsidR="00BF4388" w:rsidRPr="00AD6AF3">
              <w:rPr>
                <w:rFonts w:ascii="Verdana" w:hAnsi="Verdana"/>
                <w:sz w:val="16"/>
                <w:szCs w:val="16"/>
                <w:lang w:eastAsia="ru-RU"/>
              </w:rPr>
              <w:t xml:space="preserve">, послуги очистки стоків </w:t>
            </w:r>
          </w:p>
        </w:tc>
        <w:tc>
          <w:tcPr>
            <w:tcW w:w="1956" w:type="dxa"/>
          </w:tcPr>
          <w:p w:rsidR="005A62F1" w:rsidRPr="00AD6AF3" w:rsidRDefault="005E7C32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7,69</w:t>
            </w:r>
          </w:p>
        </w:tc>
        <w:tc>
          <w:tcPr>
            <w:tcW w:w="1984" w:type="dxa"/>
          </w:tcPr>
          <w:p w:rsidR="005A62F1" w:rsidRPr="00AD6AF3" w:rsidRDefault="00A6096E" w:rsidP="005650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3,03</w:t>
            </w:r>
          </w:p>
        </w:tc>
        <w:tc>
          <w:tcPr>
            <w:tcW w:w="1276" w:type="dxa"/>
          </w:tcPr>
          <w:p w:rsidR="00072BD0" w:rsidRPr="00AD6AF3" w:rsidRDefault="00072BD0" w:rsidP="00FF0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10,</w:t>
            </w:r>
            <w:r w:rsidR="00FF0886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1.1.3</w:t>
            </w:r>
          </w:p>
        </w:tc>
        <w:tc>
          <w:tcPr>
            <w:tcW w:w="4111" w:type="dxa"/>
          </w:tcPr>
          <w:p w:rsidR="005A62F1" w:rsidRPr="00AD6AF3" w:rsidRDefault="007A48BD" w:rsidP="009475DC">
            <w:pPr>
              <w:snapToGrid w:val="0"/>
              <w:spacing w:before="100" w:beforeAutospacing="1" w:after="100" w:afterAutospacing="1"/>
              <w:ind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Витрати на реагенти</w:t>
            </w:r>
          </w:p>
        </w:tc>
        <w:tc>
          <w:tcPr>
            <w:tcW w:w="1956" w:type="dxa"/>
          </w:tcPr>
          <w:p w:rsidR="005A62F1" w:rsidRPr="00AD6AF3" w:rsidRDefault="00565048" w:rsidP="00BF43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0,42</w:t>
            </w:r>
          </w:p>
        </w:tc>
        <w:tc>
          <w:tcPr>
            <w:tcW w:w="1984" w:type="dxa"/>
          </w:tcPr>
          <w:p w:rsidR="005A62F1" w:rsidRPr="00AD6AF3" w:rsidRDefault="00A578D7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62F1" w:rsidRPr="00AD6AF3" w:rsidRDefault="00072BD0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0,42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1.1.4</w:t>
            </w:r>
          </w:p>
        </w:tc>
        <w:tc>
          <w:tcPr>
            <w:tcW w:w="4111" w:type="dxa"/>
          </w:tcPr>
          <w:p w:rsidR="005A62F1" w:rsidRPr="00AD6AF3" w:rsidRDefault="005A62F1" w:rsidP="00565048">
            <w:pPr>
              <w:snapToGrid w:val="0"/>
              <w:spacing w:before="100" w:beforeAutospacing="1" w:after="100" w:afterAutospacing="1"/>
              <w:ind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 xml:space="preserve">матеріальні витрати </w:t>
            </w:r>
          </w:p>
        </w:tc>
        <w:tc>
          <w:tcPr>
            <w:tcW w:w="1956" w:type="dxa"/>
          </w:tcPr>
          <w:p w:rsidR="005A62F1" w:rsidRPr="00AD6AF3" w:rsidRDefault="00565048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0,41</w:t>
            </w:r>
          </w:p>
        </w:tc>
        <w:tc>
          <w:tcPr>
            <w:tcW w:w="1984" w:type="dxa"/>
          </w:tcPr>
          <w:p w:rsidR="005A62F1" w:rsidRPr="00AD6AF3" w:rsidRDefault="00C46849" w:rsidP="005650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565048" w:rsidRPr="00AD6AF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5A62F1" w:rsidRPr="00AD6AF3" w:rsidRDefault="00072BD0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0,57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7A48BD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1.2.</w:t>
            </w:r>
          </w:p>
        </w:tc>
        <w:tc>
          <w:tcPr>
            <w:tcW w:w="4111" w:type="dxa"/>
          </w:tcPr>
          <w:p w:rsidR="005A62F1" w:rsidRPr="00AD6AF3" w:rsidRDefault="007A48BD" w:rsidP="009475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bCs/>
                <w:sz w:val="16"/>
                <w:szCs w:val="16"/>
                <w:lang w:eastAsia="ru-RU"/>
              </w:rPr>
              <w:t>Прямі витрати на оплату праці</w:t>
            </w:r>
          </w:p>
        </w:tc>
        <w:tc>
          <w:tcPr>
            <w:tcW w:w="1956" w:type="dxa"/>
          </w:tcPr>
          <w:p w:rsidR="005A62F1" w:rsidRPr="00AD6AF3" w:rsidRDefault="003C3D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2,</w:t>
            </w:r>
            <w:r w:rsidR="009A59FD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5A62F1" w:rsidRPr="00AD6AF3" w:rsidRDefault="00BB2F12" w:rsidP="00072B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C46849" w:rsidRPr="00AD6AF3">
              <w:rPr>
                <w:rFonts w:ascii="Verdana" w:hAnsi="Verdana"/>
                <w:sz w:val="16"/>
                <w:szCs w:val="16"/>
              </w:rPr>
              <w:t>5</w:t>
            </w:r>
            <w:r w:rsidR="009A59F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A62F1" w:rsidRPr="00AD6AF3" w:rsidRDefault="009A59FD" w:rsidP="000375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3,20</w:t>
            </w:r>
          </w:p>
        </w:tc>
      </w:tr>
      <w:tr w:rsidR="007A48BD" w:rsidRPr="00C96567" w:rsidTr="007A48BD">
        <w:tc>
          <w:tcPr>
            <w:tcW w:w="704" w:type="dxa"/>
          </w:tcPr>
          <w:p w:rsidR="007A48BD" w:rsidRPr="00AD6AF3" w:rsidRDefault="00A578D7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1.3.</w:t>
            </w:r>
          </w:p>
        </w:tc>
        <w:tc>
          <w:tcPr>
            <w:tcW w:w="4111" w:type="dxa"/>
          </w:tcPr>
          <w:p w:rsidR="007A48BD" w:rsidRPr="00AD6AF3" w:rsidRDefault="007A48BD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Інші прямі витрати, у т.ч.:</w:t>
            </w:r>
          </w:p>
        </w:tc>
        <w:tc>
          <w:tcPr>
            <w:tcW w:w="1956" w:type="dxa"/>
          </w:tcPr>
          <w:p w:rsidR="007A48BD" w:rsidRPr="00AD6AF3" w:rsidRDefault="000B25FF" w:rsidP="00E60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 w:rsidR="009A59FD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984" w:type="dxa"/>
          </w:tcPr>
          <w:p w:rsidR="007A48BD" w:rsidRPr="00AD6AF3" w:rsidRDefault="00E602B5" w:rsidP="00C468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0,1</w:t>
            </w:r>
            <w:r w:rsidR="009A59F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A48BD" w:rsidRPr="00AD6AF3" w:rsidRDefault="00FF0886" w:rsidP="002665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1,0</w:t>
            </w:r>
            <w:r w:rsidR="009A59FD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A48BD" w:rsidRPr="00C96567" w:rsidTr="007A48BD">
        <w:tc>
          <w:tcPr>
            <w:tcW w:w="704" w:type="dxa"/>
          </w:tcPr>
          <w:p w:rsidR="007A48BD" w:rsidRPr="00AD6AF3" w:rsidRDefault="00A578D7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1.3.1</w:t>
            </w:r>
          </w:p>
        </w:tc>
        <w:tc>
          <w:tcPr>
            <w:tcW w:w="4111" w:type="dxa"/>
          </w:tcPr>
          <w:p w:rsidR="007A48BD" w:rsidRPr="00AD6AF3" w:rsidRDefault="00A578D7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єдиний соціальний внесок</w:t>
            </w:r>
          </w:p>
        </w:tc>
        <w:tc>
          <w:tcPr>
            <w:tcW w:w="1956" w:type="dxa"/>
          </w:tcPr>
          <w:p w:rsidR="007A48BD" w:rsidRPr="00AD6AF3" w:rsidRDefault="003C3D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0,5</w:t>
            </w:r>
            <w:r w:rsidR="009A59F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7A48BD" w:rsidRPr="00AD6AF3" w:rsidRDefault="00BB2F12" w:rsidP="00C468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C46849" w:rsidRPr="00AD6AF3">
              <w:rPr>
                <w:rFonts w:ascii="Verdana" w:hAnsi="Verdana"/>
                <w:sz w:val="16"/>
                <w:szCs w:val="16"/>
              </w:rPr>
              <w:t>1</w:t>
            </w:r>
            <w:r w:rsidR="009A59F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A48BD" w:rsidRPr="00AD6AF3" w:rsidRDefault="00F1665B" w:rsidP="002665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7042B7">
              <w:rPr>
                <w:rFonts w:ascii="Verdana" w:hAnsi="Verdana"/>
                <w:sz w:val="16"/>
                <w:szCs w:val="16"/>
              </w:rPr>
              <w:t>71</w:t>
            </w:r>
          </w:p>
        </w:tc>
      </w:tr>
      <w:tr w:rsidR="005A62F1" w:rsidRPr="00C96567" w:rsidTr="00BB2F12">
        <w:trPr>
          <w:trHeight w:val="253"/>
        </w:trPr>
        <w:tc>
          <w:tcPr>
            <w:tcW w:w="704" w:type="dxa"/>
          </w:tcPr>
          <w:p w:rsidR="005A62F1" w:rsidRPr="00AD6AF3" w:rsidRDefault="00A578D7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1.3.2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амортизація основних засобів</w:t>
            </w:r>
          </w:p>
        </w:tc>
        <w:tc>
          <w:tcPr>
            <w:tcW w:w="1956" w:type="dxa"/>
          </w:tcPr>
          <w:p w:rsidR="005A62F1" w:rsidRPr="00AD6AF3" w:rsidRDefault="003C3D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0,28</w:t>
            </w:r>
          </w:p>
        </w:tc>
        <w:tc>
          <w:tcPr>
            <w:tcW w:w="1984" w:type="dxa"/>
          </w:tcPr>
          <w:p w:rsidR="005A62F1" w:rsidRPr="00AD6AF3" w:rsidRDefault="00BB2F12" w:rsidP="00C468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C46849" w:rsidRPr="00AD6AF3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5A62F1" w:rsidRPr="00AD6AF3" w:rsidRDefault="00F1665B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0,30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A578D7" w:rsidP="00001C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1.3.3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956" w:type="dxa"/>
          </w:tcPr>
          <w:p w:rsidR="005A62F1" w:rsidRPr="00AD6AF3" w:rsidRDefault="00565048" w:rsidP="00F651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0B25FF">
              <w:rPr>
                <w:rFonts w:ascii="Verdana" w:hAnsi="Verdana"/>
                <w:sz w:val="16"/>
                <w:szCs w:val="16"/>
              </w:rPr>
              <w:t>0</w:t>
            </w:r>
            <w:r w:rsidR="00B717F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5A62F1" w:rsidRPr="00AD6AF3" w:rsidRDefault="00C46849" w:rsidP="005650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565048" w:rsidRPr="00AD6AF3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:rsidR="00266546" w:rsidRPr="00AD6AF3" w:rsidRDefault="00101107" w:rsidP="00F651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0,06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A578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lastRenderedPageBreak/>
              <w:t>1.</w:t>
            </w:r>
            <w:r w:rsidR="00A578D7" w:rsidRPr="00AD6AF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Загальновиробничі витрати</w:t>
            </w:r>
          </w:p>
        </w:tc>
        <w:tc>
          <w:tcPr>
            <w:tcW w:w="1956" w:type="dxa"/>
          </w:tcPr>
          <w:p w:rsidR="005A62F1" w:rsidRPr="00AD6AF3" w:rsidRDefault="003C3D86" w:rsidP="009A59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2,</w:t>
            </w:r>
            <w:r w:rsidR="009A59FD">
              <w:rPr>
                <w:rFonts w:ascii="Verdana" w:hAnsi="Verdana"/>
                <w:sz w:val="16"/>
                <w:szCs w:val="16"/>
              </w:rPr>
              <w:t>3</w:t>
            </w:r>
            <w:r w:rsidR="00F64B7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5A62F1" w:rsidRPr="00AD6AF3" w:rsidRDefault="00C46849" w:rsidP="009A59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9A59F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A62F1" w:rsidRPr="00AD6AF3" w:rsidRDefault="00FF0886" w:rsidP="001011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</w:t>
            </w:r>
            <w:r w:rsidR="009A59FD">
              <w:rPr>
                <w:rFonts w:ascii="Verdana" w:hAnsi="Verdana"/>
                <w:sz w:val="16"/>
                <w:szCs w:val="16"/>
              </w:rPr>
              <w:t>97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snapToGrid w:val="0"/>
              <w:spacing w:before="100" w:beforeAutospacing="1" w:after="100" w:afterAutospacing="1"/>
              <w:ind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bCs/>
                <w:sz w:val="16"/>
                <w:szCs w:val="16"/>
                <w:lang w:eastAsia="ru-RU"/>
              </w:rPr>
              <w:t>Адміністративні витрати</w:t>
            </w:r>
          </w:p>
        </w:tc>
        <w:tc>
          <w:tcPr>
            <w:tcW w:w="1956" w:type="dxa"/>
          </w:tcPr>
          <w:p w:rsidR="005A62F1" w:rsidRPr="00AD6AF3" w:rsidRDefault="003C3D86" w:rsidP="009A59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1,1</w:t>
            </w:r>
            <w:r w:rsidR="009A59F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5A62F1" w:rsidRPr="00AD6AF3" w:rsidRDefault="00C46849" w:rsidP="009A59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9A59F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A62F1" w:rsidRPr="00AD6AF3" w:rsidRDefault="00F1665B" w:rsidP="00FF0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1,</w:t>
            </w:r>
            <w:r w:rsidR="00FF0886">
              <w:rPr>
                <w:rFonts w:ascii="Verdana" w:hAnsi="Verdana"/>
                <w:sz w:val="16"/>
                <w:szCs w:val="16"/>
              </w:rPr>
              <w:t>4</w:t>
            </w:r>
            <w:r w:rsidR="009A59FD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snapToGrid w:val="0"/>
              <w:spacing w:before="100" w:beforeAutospacing="1" w:after="100" w:afterAutospacing="1"/>
              <w:ind w:right="-60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bCs/>
                <w:sz w:val="16"/>
                <w:szCs w:val="16"/>
                <w:lang w:eastAsia="ru-RU"/>
              </w:rPr>
              <w:t>Витрати на збут</w:t>
            </w:r>
          </w:p>
        </w:tc>
        <w:tc>
          <w:tcPr>
            <w:tcW w:w="1956" w:type="dxa"/>
          </w:tcPr>
          <w:p w:rsidR="005A62F1" w:rsidRPr="00AD6AF3" w:rsidRDefault="003C3D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</w:t>
            </w:r>
            <w:r w:rsidR="00B717FC">
              <w:rPr>
                <w:rFonts w:ascii="Verdana" w:hAnsi="Verdana"/>
                <w:sz w:val="16"/>
                <w:szCs w:val="16"/>
              </w:rPr>
              <w:t>6</w:t>
            </w:r>
            <w:r w:rsidR="009A59F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A62F1" w:rsidRPr="00AD6AF3" w:rsidRDefault="00C46849" w:rsidP="008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0,1</w:t>
            </w:r>
            <w:r w:rsidR="009A59F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A62F1" w:rsidRPr="00AD6AF3" w:rsidRDefault="00F1665B" w:rsidP="00FF08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0,7</w:t>
            </w:r>
            <w:r w:rsidR="009A59FD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Інші операційні витрати</w:t>
            </w:r>
          </w:p>
        </w:tc>
        <w:tc>
          <w:tcPr>
            <w:tcW w:w="1956" w:type="dxa"/>
          </w:tcPr>
          <w:p w:rsidR="005A62F1" w:rsidRPr="00AD6AF3" w:rsidRDefault="00AC0C74" w:rsidP="003C3D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3C3D86" w:rsidRPr="00AD6AF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A62F1" w:rsidRPr="00AD6AF3" w:rsidRDefault="00C46849" w:rsidP="001011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101107" w:rsidRPr="00AD6AF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62F1" w:rsidRPr="00AD6AF3" w:rsidRDefault="00BB2F12" w:rsidP="001011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101107" w:rsidRPr="00AD6AF3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956" w:type="dxa"/>
          </w:tcPr>
          <w:p w:rsidR="005A62F1" w:rsidRPr="00AD6AF3" w:rsidRDefault="00AC0C74" w:rsidP="003C3D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3C3D86" w:rsidRPr="00AD6AF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A62F1" w:rsidRPr="00AD6AF3" w:rsidRDefault="00BB2F12" w:rsidP="00813B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813B52" w:rsidRPr="00AD6AF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62F1" w:rsidRPr="00AD6AF3" w:rsidRDefault="00BB2F12" w:rsidP="00F166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0,0</w:t>
            </w:r>
            <w:r w:rsidR="00F1665B" w:rsidRPr="00AD6AF3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Усього витрат повної собівартості</w:t>
            </w:r>
          </w:p>
        </w:tc>
        <w:tc>
          <w:tcPr>
            <w:tcW w:w="1956" w:type="dxa"/>
          </w:tcPr>
          <w:p w:rsidR="005A62F1" w:rsidRPr="00AD6AF3" w:rsidRDefault="00F64B7D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</w:t>
            </w:r>
            <w:r w:rsidR="009A59FD">
              <w:rPr>
                <w:rFonts w:ascii="Verdana" w:hAnsi="Verdana"/>
                <w:sz w:val="16"/>
                <w:szCs w:val="16"/>
              </w:rPr>
              <w:t>7</w:t>
            </w:r>
            <w:r w:rsidR="007042B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A62F1" w:rsidRPr="00AD6AF3" w:rsidRDefault="00072BD0" w:rsidP="00A609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4,</w:t>
            </w:r>
            <w:r w:rsidR="007042B7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276" w:type="dxa"/>
          </w:tcPr>
          <w:p w:rsidR="005A62F1" w:rsidRPr="00AD6AF3" w:rsidRDefault="00FF08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</w:t>
            </w:r>
            <w:r w:rsidR="007042B7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5A62F1" w:rsidRPr="00AD6AF3" w:rsidRDefault="00BF3663" w:rsidP="009475D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  <w:lang w:eastAsia="ru-RU"/>
              </w:rPr>
              <w:t>Розрахунковий</w:t>
            </w:r>
            <w:r w:rsidR="005A62F1" w:rsidRPr="00AD6AF3">
              <w:rPr>
                <w:rFonts w:ascii="Verdana" w:hAnsi="Verdana"/>
                <w:sz w:val="16"/>
                <w:szCs w:val="16"/>
                <w:lang w:eastAsia="ru-RU"/>
              </w:rPr>
              <w:t xml:space="preserve"> прибуток</w:t>
            </w:r>
          </w:p>
        </w:tc>
        <w:tc>
          <w:tcPr>
            <w:tcW w:w="1956" w:type="dxa"/>
          </w:tcPr>
          <w:p w:rsidR="005A62F1" w:rsidRPr="00AD6AF3" w:rsidRDefault="003C3D86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0,65</w:t>
            </w:r>
          </w:p>
        </w:tc>
        <w:tc>
          <w:tcPr>
            <w:tcW w:w="198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62F1" w:rsidRPr="00AD6AF3" w:rsidRDefault="00C46849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0,65</w:t>
            </w:r>
          </w:p>
        </w:tc>
      </w:tr>
      <w:tr w:rsidR="005A62F1" w:rsidRPr="00C96567" w:rsidTr="007A48BD"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Податок на додану вартість</w:t>
            </w:r>
          </w:p>
        </w:tc>
        <w:tc>
          <w:tcPr>
            <w:tcW w:w="1956" w:type="dxa"/>
          </w:tcPr>
          <w:p w:rsidR="005A62F1" w:rsidRDefault="007042B7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4,07</w:t>
            </w:r>
          </w:p>
          <w:p w:rsidR="00B717FC" w:rsidRPr="00AD6AF3" w:rsidRDefault="00B717FC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5A62F1" w:rsidRPr="00AD6AF3" w:rsidRDefault="007042B7" w:rsidP="00A609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5A62F1" w:rsidRPr="00AD6AF3" w:rsidRDefault="003F038A" w:rsidP="003F03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</w:t>
            </w:r>
            <w:r w:rsidR="007042B7">
              <w:rPr>
                <w:rFonts w:ascii="Verdana" w:hAnsi="Verdana"/>
                <w:sz w:val="16"/>
                <w:szCs w:val="16"/>
              </w:rPr>
              <w:t>07</w:t>
            </w:r>
          </w:p>
        </w:tc>
      </w:tr>
      <w:tr w:rsidR="005A62F1" w:rsidRPr="00C96567" w:rsidTr="009D560E">
        <w:trPr>
          <w:trHeight w:val="356"/>
        </w:trPr>
        <w:tc>
          <w:tcPr>
            <w:tcW w:w="704" w:type="dxa"/>
          </w:tcPr>
          <w:p w:rsidR="005A62F1" w:rsidRPr="00AD6AF3" w:rsidRDefault="005A62F1" w:rsidP="009475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6AF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5A62F1" w:rsidRPr="00AD6AF3" w:rsidRDefault="005A62F1" w:rsidP="009475D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D6AF3">
              <w:rPr>
                <w:rFonts w:ascii="Verdana" w:hAnsi="Verdana"/>
                <w:b/>
                <w:sz w:val="16"/>
                <w:szCs w:val="16"/>
              </w:rPr>
              <w:t xml:space="preserve">Розмір тарифів з </w:t>
            </w:r>
            <w:r w:rsidRPr="00AD6AF3">
              <w:rPr>
                <w:rFonts w:ascii="Verdana" w:hAnsi="Verdana"/>
                <w:b/>
                <w:sz w:val="16"/>
                <w:szCs w:val="16"/>
                <w:lang w:eastAsia="ru-RU"/>
              </w:rPr>
              <w:t>ПДВ, грн. /куб м</w:t>
            </w:r>
          </w:p>
        </w:tc>
        <w:tc>
          <w:tcPr>
            <w:tcW w:w="1956" w:type="dxa"/>
          </w:tcPr>
          <w:p w:rsidR="005A62F1" w:rsidRPr="00AD6AF3" w:rsidRDefault="00B717FC" w:rsidP="009475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24,</w:t>
            </w:r>
            <w:r w:rsidR="007042B7">
              <w:rPr>
                <w:rFonts w:ascii="Verdana" w:hAnsi="Verdana"/>
                <w:b/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5A62F1" w:rsidRPr="00AD6AF3" w:rsidRDefault="00072BD0" w:rsidP="00A6096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6AF3">
              <w:rPr>
                <w:rFonts w:ascii="Verdana" w:hAnsi="Verdana"/>
                <w:b/>
                <w:sz w:val="16"/>
                <w:szCs w:val="16"/>
              </w:rPr>
              <w:t>5,</w:t>
            </w:r>
            <w:r w:rsidR="007042B7">
              <w:rPr>
                <w:rFonts w:ascii="Verdana" w:hAnsi="Verdana"/>
                <w:b/>
                <w:sz w:val="16"/>
                <w:szCs w:val="16"/>
              </w:rPr>
              <w:t>98</w:t>
            </w:r>
          </w:p>
        </w:tc>
        <w:tc>
          <w:tcPr>
            <w:tcW w:w="1276" w:type="dxa"/>
          </w:tcPr>
          <w:p w:rsidR="005A62F1" w:rsidRPr="00AD6AF3" w:rsidRDefault="007042B7" w:rsidP="00A453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30,44</w:t>
            </w:r>
          </w:p>
        </w:tc>
      </w:tr>
    </w:tbl>
    <w:p w:rsidR="005A62F1" w:rsidRPr="00C96567" w:rsidRDefault="005A62F1" w:rsidP="002F4EEC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uk-UA"/>
        </w:rPr>
      </w:pPr>
      <w:r w:rsidRPr="00C96567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uk-UA"/>
        </w:rPr>
        <w:t>Загальний розмір та рівень підвищення тариф</w:t>
      </w:r>
      <w:r w:rsidR="00DC2983" w:rsidRPr="00C96567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uk-UA"/>
        </w:rPr>
        <w:t>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851"/>
        <w:gridCol w:w="850"/>
        <w:gridCol w:w="992"/>
        <w:gridCol w:w="993"/>
        <w:gridCol w:w="850"/>
        <w:gridCol w:w="992"/>
        <w:gridCol w:w="993"/>
        <w:gridCol w:w="992"/>
      </w:tblGrid>
      <w:tr w:rsidR="005A62F1" w:rsidRPr="00C96567" w:rsidTr="003C3D86">
        <w:trPr>
          <w:trHeight w:val="936"/>
        </w:trPr>
        <w:tc>
          <w:tcPr>
            <w:tcW w:w="1526" w:type="dxa"/>
            <w:vMerge w:val="restart"/>
            <w:vAlign w:val="center"/>
          </w:tcPr>
          <w:p w:rsidR="005A62F1" w:rsidRPr="001F3353" w:rsidRDefault="005A62F1" w:rsidP="009475DC">
            <w:pPr>
              <w:pStyle w:val="a5"/>
              <w:tabs>
                <w:tab w:val="left" w:pos="1134"/>
              </w:tabs>
              <w:ind w:right="-108" w:firstLine="0"/>
              <w:rPr>
                <w:rFonts w:ascii="Verdana" w:hAnsi="Verdana"/>
                <w:b w:val="0"/>
                <w:sz w:val="16"/>
                <w:szCs w:val="16"/>
              </w:rPr>
            </w:pPr>
            <w:r w:rsidRPr="001F3353">
              <w:rPr>
                <w:rFonts w:ascii="Verdana" w:hAnsi="Verdana"/>
                <w:b w:val="0"/>
                <w:sz w:val="16"/>
                <w:szCs w:val="16"/>
              </w:rPr>
              <w:t>Категорія споживачів</w:t>
            </w:r>
          </w:p>
        </w:tc>
        <w:tc>
          <w:tcPr>
            <w:tcW w:w="2693" w:type="dxa"/>
            <w:gridSpan w:val="3"/>
            <w:vAlign w:val="center"/>
          </w:tcPr>
          <w:p w:rsidR="005A62F1" w:rsidRPr="001F3353" w:rsidRDefault="005A62F1" w:rsidP="009475DC">
            <w:pPr>
              <w:pStyle w:val="a5"/>
              <w:ind w:firstLine="0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1F3353">
              <w:rPr>
                <w:rFonts w:ascii="Verdana" w:hAnsi="Verdana"/>
                <w:b w:val="0"/>
                <w:bCs/>
                <w:sz w:val="16"/>
                <w:szCs w:val="16"/>
              </w:rPr>
              <w:t>централізованого водопостачання</w:t>
            </w:r>
          </w:p>
        </w:tc>
        <w:tc>
          <w:tcPr>
            <w:tcW w:w="2835" w:type="dxa"/>
            <w:gridSpan w:val="3"/>
            <w:vAlign w:val="center"/>
          </w:tcPr>
          <w:p w:rsidR="005A62F1" w:rsidRPr="001F3353" w:rsidRDefault="005A62F1" w:rsidP="009475DC">
            <w:pPr>
              <w:tabs>
                <w:tab w:val="left" w:pos="900"/>
              </w:tabs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bCs/>
                <w:sz w:val="16"/>
                <w:szCs w:val="16"/>
                <w:lang w:eastAsia="ru-RU"/>
              </w:rPr>
              <w:t>централізованого водовідведення</w:t>
            </w:r>
          </w:p>
        </w:tc>
        <w:tc>
          <w:tcPr>
            <w:tcW w:w="2977" w:type="dxa"/>
            <w:gridSpan w:val="3"/>
            <w:vAlign w:val="center"/>
          </w:tcPr>
          <w:p w:rsidR="005A62F1" w:rsidRPr="001F3353" w:rsidRDefault="005A62F1" w:rsidP="009475DC">
            <w:pPr>
              <w:tabs>
                <w:tab w:val="left" w:pos="900"/>
              </w:tabs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3353">
              <w:rPr>
                <w:rFonts w:ascii="Verdana" w:hAnsi="Verdana"/>
                <w:sz w:val="16"/>
                <w:szCs w:val="16"/>
              </w:rPr>
              <w:t>Тариф на послуги з централізованого водопостачання та водовідведення разом</w:t>
            </w:r>
          </w:p>
        </w:tc>
      </w:tr>
      <w:tr w:rsidR="005A62F1" w:rsidRPr="00C96567" w:rsidTr="003C3D86">
        <w:trPr>
          <w:trHeight w:val="1978"/>
        </w:trPr>
        <w:tc>
          <w:tcPr>
            <w:tcW w:w="1526" w:type="dxa"/>
            <w:vMerge/>
            <w:vAlign w:val="center"/>
          </w:tcPr>
          <w:p w:rsidR="005A62F1" w:rsidRPr="00C96567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Плановий економічно </w:t>
            </w:r>
            <w:proofErr w:type="spellStart"/>
            <w:r w:rsidRPr="00B35222">
              <w:rPr>
                <w:rFonts w:ascii="Verdana" w:hAnsi="Verdana"/>
                <w:b w:val="0"/>
                <w:sz w:val="16"/>
                <w:szCs w:val="16"/>
              </w:rPr>
              <w:t>обгрунтований</w:t>
            </w:r>
            <w:proofErr w:type="spellEnd"/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 тариф з ПДВ, грн./1 куб м</w:t>
            </w:r>
          </w:p>
        </w:tc>
        <w:tc>
          <w:tcPr>
            <w:tcW w:w="851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Затверджений тариф з ПДВ, грн./1 куб м </w:t>
            </w:r>
          </w:p>
        </w:tc>
        <w:tc>
          <w:tcPr>
            <w:tcW w:w="850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>Рівень підвищення тарифів, %</w:t>
            </w:r>
          </w:p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Плановий економічно </w:t>
            </w:r>
            <w:proofErr w:type="spellStart"/>
            <w:r w:rsidRPr="00B35222">
              <w:rPr>
                <w:rFonts w:ascii="Verdana" w:hAnsi="Verdana"/>
                <w:b w:val="0"/>
                <w:sz w:val="16"/>
                <w:szCs w:val="16"/>
              </w:rPr>
              <w:t>обгрунтований</w:t>
            </w:r>
            <w:proofErr w:type="spellEnd"/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 тариф з ПДВ, грн./куб м</w:t>
            </w:r>
          </w:p>
        </w:tc>
        <w:tc>
          <w:tcPr>
            <w:tcW w:w="993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Затверджений тариф з ПДВ, грн./1 куб м </w:t>
            </w:r>
          </w:p>
        </w:tc>
        <w:tc>
          <w:tcPr>
            <w:tcW w:w="850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>Рівень підвищення тарифів, %</w:t>
            </w:r>
          </w:p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Плановий економічно </w:t>
            </w:r>
            <w:proofErr w:type="spellStart"/>
            <w:r w:rsidRPr="00B35222">
              <w:rPr>
                <w:rFonts w:ascii="Verdana" w:hAnsi="Verdana"/>
                <w:b w:val="0"/>
                <w:sz w:val="16"/>
                <w:szCs w:val="16"/>
              </w:rPr>
              <w:t>обгрунтований</w:t>
            </w:r>
            <w:proofErr w:type="spellEnd"/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 тариф з ПДВ, грн./куб м</w:t>
            </w:r>
          </w:p>
        </w:tc>
        <w:tc>
          <w:tcPr>
            <w:tcW w:w="993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Затверджений тариф з ПДВ, грн./1 куб м </w:t>
            </w:r>
          </w:p>
        </w:tc>
        <w:tc>
          <w:tcPr>
            <w:tcW w:w="992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 xml:space="preserve">Рівень підвищення тарифів, </w:t>
            </w:r>
          </w:p>
          <w:p w:rsidR="005A62F1" w:rsidRPr="00B35222" w:rsidRDefault="005A62F1" w:rsidP="009475DC">
            <w:pPr>
              <w:pStyle w:val="a5"/>
              <w:ind w:firstLine="0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>%</w:t>
            </w:r>
          </w:p>
        </w:tc>
      </w:tr>
      <w:tr w:rsidR="005A62F1" w:rsidRPr="00C96567" w:rsidTr="003C3D86">
        <w:trPr>
          <w:trHeight w:val="455"/>
        </w:trPr>
        <w:tc>
          <w:tcPr>
            <w:tcW w:w="1526" w:type="dxa"/>
            <w:vAlign w:val="center"/>
          </w:tcPr>
          <w:p w:rsidR="005A62F1" w:rsidRPr="00B35222" w:rsidRDefault="005A62F1" w:rsidP="009475DC">
            <w:pPr>
              <w:pStyle w:val="a5"/>
              <w:ind w:firstLine="0"/>
              <w:rPr>
                <w:rFonts w:ascii="Verdana" w:hAnsi="Verdana"/>
                <w:b w:val="0"/>
                <w:sz w:val="16"/>
                <w:szCs w:val="16"/>
              </w:rPr>
            </w:pPr>
            <w:r w:rsidRPr="00B35222">
              <w:rPr>
                <w:rFonts w:ascii="Verdana" w:hAnsi="Verdana"/>
                <w:b w:val="0"/>
                <w:sz w:val="16"/>
                <w:szCs w:val="16"/>
              </w:rPr>
              <w:t>Населення</w:t>
            </w:r>
            <w:r w:rsidR="00E71A89" w:rsidRPr="00B35222">
              <w:rPr>
                <w:rFonts w:ascii="Verdana" w:hAnsi="Verdana"/>
                <w:b w:val="0"/>
                <w:sz w:val="16"/>
                <w:szCs w:val="16"/>
              </w:rPr>
              <w:t>, інші споживачі</w:t>
            </w:r>
          </w:p>
        </w:tc>
        <w:tc>
          <w:tcPr>
            <w:tcW w:w="992" w:type="dxa"/>
            <w:vAlign w:val="center"/>
          </w:tcPr>
          <w:p w:rsidR="005A62F1" w:rsidRPr="00C96567" w:rsidRDefault="00534939" w:rsidP="00D61A98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24,</w:t>
            </w:r>
            <w:r w:rsidR="00D61A98">
              <w:rPr>
                <w:rFonts w:ascii="Verdana" w:hAnsi="Verdana"/>
                <w:b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5A62F1" w:rsidRPr="00C96567" w:rsidRDefault="00534939" w:rsidP="008D2ACE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23,24</w:t>
            </w:r>
          </w:p>
        </w:tc>
        <w:tc>
          <w:tcPr>
            <w:tcW w:w="850" w:type="dxa"/>
            <w:vAlign w:val="center"/>
          </w:tcPr>
          <w:p w:rsidR="005A62F1" w:rsidRPr="00C96567" w:rsidRDefault="00534939" w:rsidP="00D61A98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+</w:t>
            </w:r>
            <w:r w:rsidR="00D61A98">
              <w:rPr>
                <w:rFonts w:ascii="Verdana" w:hAnsi="Verdana"/>
                <w:b w:val="0"/>
                <w:sz w:val="18"/>
                <w:szCs w:val="18"/>
              </w:rPr>
              <w:t>5,2</w:t>
            </w:r>
          </w:p>
        </w:tc>
        <w:tc>
          <w:tcPr>
            <w:tcW w:w="992" w:type="dxa"/>
            <w:vAlign w:val="center"/>
          </w:tcPr>
          <w:p w:rsidR="005A62F1" w:rsidRPr="00C96567" w:rsidRDefault="00534939" w:rsidP="00D61A98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5,</w:t>
            </w:r>
            <w:r w:rsidR="00D61A98">
              <w:rPr>
                <w:rFonts w:ascii="Verdana" w:hAnsi="Verdana"/>
                <w:b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vAlign w:val="center"/>
          </w:tcPr>
          <w:p w:rsidR="005A62F1" w:rsidRPr="00C96567" w:rsidRDefault="00C34150" w:rsidP="00D550CF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96567">
              <w:rPr>
                <w:rFonts w:ascii="Verdana" w:hAnsi="Verdana"/>
                <w:b w:val="0"/>
                <w:sz w:val="18"/>
                <w:szCs w:val="18"/>
              </w:rPr>
              <w:t>5,4</w:t>
            </w:r>
            <w:r w:rsidR="00D550CF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A62F1" w:rsidRPr="00C96567" w:rsidRDefault="00534939" w:rsidP="00D61A98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+</w:t>
            </w:r>
            <w:r w:rsidR="00D61A98">
              <w:rPr>
                <w:rFonts w:ascii="Verdana" w:hAnsi="Verdana"/>
                <w:b w:val="0"/>
                <w:sz w:val="18"/>
                <w:szCs w:val="18"/>
              </w:rPr>
              <w:t>9</w:t>
            </w:r>
            <w:r>
              <w:rPr>
                <w:rFonts w:ascii="Verdana" w:hAnsi="Verdana"/>
                <w:b w:val="0"/>
                <w:sz w:val="18"/>
                <w:szCs w:val="18"/>
              </w:rPr>
              <w:t>,</w:t>
            </w:r>
            <w:r w:rsidR="00D61A98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A62F1" w:rsidRPr="00C96567" w:rsidRDefault="00D61A98" w:rsidP="00A4537C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30,44</w:t>
            </w:r>
          </w:p>
        </w:tc>
        <w:tc>
          <w:tcPr>
            <w:tcW w:w="993" w:type="dxa"/>
            <w:vAlign w:val="center"/>
          </w:tcPr>
          <w:p w:rsidR="005A62F1" w:rsidRPr="00C96567" w:rsidRDefault="00C34150" w:rsidP="00D550CF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96567">
              <w:rPr>
                <w:rFonts w:ascii="Verdana" w:hAnsi="Verdana"/>
                <w:b w:val="0"/>
                <w:sz w:val="18"/>
                <w:szCs w:val="18"/>
              </w:rPr>
              <w:t>2</w:t>
            </w:r>
            <w:r w:rsidR="00D550CF">
              <w:rPr>
                <w:rFonts w:ascii="Verdana" w:hAnsi="Verdana"/>
                <w:b w:val="0"/>
                <w:sz w:val="18"/>
                <w:szCs w:val="18"/>
              </w:rPr>
              <w:t>8,71</w:t>
            </w:r>
          </w:p>
        </w:tc>
        <w:tc>
          <w:tcPr>
            <w:tcW w:w="992" w:type="dxa"/>
            <w:vAlign w:val="center"/>
          </w:tcPr>
          <w:p w:rsidR="005A62F1" w:rsidRPr="00C96567" w:rsidRDefault="00D61A98" w:rsidP="00C34150">
            <w:pPr>
              <w:pStyle w:val="a5"/>
              <w:ind w:firstLin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+6,0</w:t>
            </w:r>
          </w:p>
        </w:tc>
      </w:tr>
    </w:tbl>
    <w:p w:rsidR="008D2ACE" w:rsidRPr="00C96567" w:rsidRDefault="005A62F1" w:rsidP="005A62F1">
      <w:pPr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 xml:space="preserve">Загалом </w:t>
      </w:r>
      <w:r w:rsidR="008D2ACE" w:rsidRPr="00C96567">
        <w:rPr>
          <w:rFonts w:ascii="Verdana" w:hAnsi="Verdana"/>
          <w:sz w:val="18"/>
          <w:szCs w:val="18"/>
        </w:rPr>
        <w:t xml:space="preserve">планові </w:t>
      </w:r>
      <w:r w:rsidRPr="00C96567">
        <w:rPr>
          <w:rFonts w:ascii="Verdana" w:hAnsi="Verdana"/>
          <w:sz w:val="18"/>
          <w:szCs w:val="18"/>
        </w:rPr>
        <w:t xml:space="preserve">тарифи на послуги </w:t>
      </w:r>
      <w:r w:rsidR="00853F4B" w:rsidRPr="00C96567">
        <w:rPr>
          <w:rFonts w:ascii="Verdana" w:hAnsi="Verdana"/>
          <w:sz w:val="18"/>
          <w:szCs w:val="18"/>
        </w:rPr>
        <w:t xml:space="preserve">з централізованого </w:t>
      </w:r>
      <w:r w:rsidRPr="00C96567">
        <w:rPr>
          <w:rFonts w:ascii="Verdana" w:hAnsi="Verdana"/>
          <w:sz w:val="18"/>
          <w:szCs w:val="18"/>
        </w:rPr>
        <w:t xml:space="preserve">водопостачання та водовідведення </w:t>
      </w:r>
      <w:r w:rsidR="008D2ACE" w:rsidRPr="00C96567">
        <w:rPr>
          <w:rFonts w:ascii="Verdana" w:hAnsi="Verdana"/>
          <w:sz w:val="18"/>
          <w:szCs w:val="18"/>
        </w:rPr>
        <w:t>можуть становити</w:t>
      </w:r>
      <w:r w:rsidR="00D61A98">
        <w:rPr>
          <w:rFonts w:ascii="Verdana" w:hAnsi="Verdana"/>
          <w:sz w:val="18"/>
          <w:szCs w:val="18"/>
        </w:rPr>
        <w:t xml:space="preserve">   </w:t>
      </w:r>
      <w:r w:rsidR="00D61A98" w:rsidRPr="00D61A98">
        <w:rPr>
          <w:rFonts w:ascii="Verdana" w:hAnsi="Verdana"/>
          <w:b/>
          <w:sz w:val="18"/>
          <w:szCs w:val="18"/>
        </w:rPr>
        <w:t>30,4</w:t>
      </w:r>
      <w:r w:rsidR="0096750A">
        <w:rPr>
          <w:rFonts w:ascii="Verdana" w:hAnsi="Verdana"/>
          <w:b/>
          <w:sz w:val="18"/>
          <w:szCs w:val="18"/>
        </w:rPr>
        <w:t>4</w:t>
      </w:r>
      <w:r w:rsidR="00D61A98">
        <w:rPr>
          <w:rFonts w:ascii="Verdana" w:hAnsi="Verdana"/>
          <w:sz w:val="18"/>
          <w:szCs w:val="18"/>
        </w:rPr>
        <w:t xml:space="preserve">  </w:t>
      </w:r>
      <w:proofErr w:type="spellStart"/>
      <w:r w:rsidRPr="00C96567">
        <w:rPr>
          <w:rFonts w:ascii="Verdana" w:hAnsi="Verdana"/>
          <w:sz w:val="18"/>
          <w:szCs w:val="18"/>
        </w:rPr>
        <w:t>грн.за</w:t>
      </w:r>
      <w:proofErr w:type="spellEnd"/>
      <w:r w:rsidRPr="00C96567">
        <w:rPr>
          <w:rFonts w:ascii="Verdana" w:hAnsi="Verdana"/>
          <w:sz w:val="18"/>
          <w:szCs w:val="18"/>
        </w:rPr>
        <w:t xml:space="preserve"> 1 куб м </w:t>
      </w:r>
      <w:r w:rsidR="00853F4B" w:rsidRPr="00C96567">
        <w:rPr>
          <w:rFonts w:ascii="Verdana" w:hAnsi="Verdana"/>
          <w:sz w:val="18"/>
          <w:szCs w:val="18"/>
        </w:rPr>
        <w:t>з ПДВ та зрости</w:t>
      </w:r>
      <w:r w:rsidRPr="00C96567">
        <w:rPr>
          <w:rFonts w:ascii="Verdana" w:hAnsi="Verdana"/>
          <w:sz w:val="18"/>
          <w:szCs w:val="18"/>
        </w:rPr>
        <w:t xml:space="preserve"> на </w:t>
      </w:r>
      <w:r w:rsidR="007B123E">
        <w:rPr>
          <w:rFonts w:ascii="Verdana" w:hAnsi="Verdana"/>
          <w:sz w:val="18"/>
          <w:szCs w:val="18"/>
        </w:rPr>
        <w:t>6,0</w:t>
      </w:r>
      <w:r w:rsidRPr="00C96567">
        <w:rPr>
          <w:rFonts w:ascii="Verdana" w:hAnsi="Verdana"/>
          <w:sz w:val="18"/>
          <w:szCs w:val="18"/>
        </w:rPr>
        <w:t xml:space="preserve">% у порівнянні з діючими тарифами. </w:t>
      </w:r>
    </w:p>
    <w:p w:rsidR="005A62F1" w:rsidRPr="00C96567" w:rsidRDefault="005A62F1" w:rsidP="005A62F1">
      <w:pPr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 xml:space="preserve">        Зауваження і пропозиції фізичних та юридичних осіб щодо </w:t>
      </w:r>
      <w:r w:rsidR="003C3D86" w:rsidRPr="00C96567">
        <w:rPr>
          <w:rFonts w:ascii="Verdana" w:hAnsi="Verdana"/>
          <w:sz w:val="18"/>
          <w:szCs w:val="18"/>
        </w:rPr>
        <w:t>встановлення</w:t>
      </w:r>
      <w:r w:rsidR="00C96567" w:rsidRPr="00C96567">
        <w:rPr>
          <w:rFonts w:ascii="Verdana" w:hAnsi="Verdana"/>
          <w:sz w:val="18"/>
          <w:szCs w:val="18"/>
        </w:rPr>
        <w:t xml:space="preserve">скоригованих </w:t>
      </w:r>
      <w:r w:rsidRPr="00C96567">
        <w:rPr>
          <w:rFonts w:ascii="Verdana" w:hAnsi="Verdana"/>
          <w:sz w:val="18"/>
          <w:szCs w:val="18"/>
        </w:rPr>
        <w:t xml:space="preserve">тарифів на послуги з централізованого водопостачання та водовідведення </w:t>
      </w:r>
      <w:r w:rsidR="003C3D86" w:rsidRPr="00C96567">
        <w:rPr>
          <w:rFonts w:ascii="Verdana" w:hAnsi="Verdana"/>
          <w:sz w:val="18"/>
          <w:szCs w:val="18"/>
        </w:rPr>
        <w:t xml:space="preserve">у 2019 році </w:t>
      </w:r>
      <w:r w:rsidRPr="00C96567">
        <w:rPr>
          <w:rFonts w:ascii="Verdana" w:hAnsi="Verdana"/>
          <w:sz w:val="18"/>
          <w:szCs w:val="18"/>
        </w:rPr>
        <w:t xml:space="preserve">просимо надавати у письмовій формі протягом </w:t>
      </w:r>
      <w:r w:rsidR="00136437"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Pr="00C96567">
        <w:rPr>
          <w:rFonts w:ascii="Verdana" w:hAnsi="Verdana"/>
          <w:sz w:val="18"/>
          <w:szCs w:val="18"/>
        </w:rPr>
        <w:t xml:space="preserve"> календарних днів з дня опублікування цього повідомлення на адресу: ТОВ «Трускавецький водоканал», 82200, </w:t>
      </w:r>
      <w:proofErr w:type="spellStart"/>
      <w:r w:rsidRPr="00C96567">
        <w:rPr>
          <w:rFonts w:ascii="Verdana" w:hAnsi="Verdana"/>
          <w:sz w:val="18"/>
          <w:szCs w:val="18"/>
        </w:rPr>
        <w:t>м.Трускавець</w:t>
      </w:r>
      <w:proofErr w:type="spellEnd"/>
      <w:r w:rsidRPr="00C96567">
        <w:rPr>
          <w:rFonts w:ascii="Verdana" w:hAnsi="Verdana"/>
          <w:sz w:val="18"/>
          <w:szCs w:val="18"/>
        </w:rPr>
        <w:t>, вул. І.Франка,59, тел. 5-15-81</w:t>
      </w:r>
      <w:r w:rsidR="008D2ACE" w:rsidRPr="00C96567">
        <w:rPr>
          <w:rFonts w:ascii="Verdana" w:hAnsi="Verdana"/>
          <w:sz w:val="18"/>
          <w:szCs w:val="18"/>
        </w:rPr>
        <w:t xml:space="preserve"> або на e-</w:t>
      </w:r>
      <w:proofErr w:type="spellStart"/>
      <w:r w:rsidR="008D2ACE" w:rsidRPr="00C96567">
        <w:rPr>
          <w:rFonts w:ascii="Verdana" w:hAnsi="Verdana"/>
          <w:sz w:val="18"/>
          <w:szCs w:val="18"/>
        </w:rPr>
        <w:t>mail</w:t>
      </w:r>
      <w:proofErr w:type="spellEnd"/>
      <w:r w:rsidR="008D2ACE" w:rsidRPr="00C96567">
        <w:rPr>
          <w:rFonts w:ascii="Verdana" w:hAnsi="Verdana"/>
          <w:sz w:val="18"/>
          <w:szCs w:val="18"/>
        </w:rPr>
        <w:t xml:space="preserve">: </w:t>
      </w:r>
      <w:proofErr w:type="spellStart"/>
      <w:r w:rsidR="008D2ACE" w:rsidRPr="00C96567">
        <w:rPr>
          <w:rFonts w:ascii="Verdana" w:hAnsi="Verdana"/>
          <w:sz w:val="18"/>
          <w:szCs w:val="18"/>
        </w:rPr>
        <w:t>tr_vodokanal</w:t>
      </w:r>
      <w:proofErr w:type="spellEnd"/>
      <w:r w:rsidR="008D2ACE" w:rsidRPr="00C96567">
        <w:rPr>
          <w:rFonts w:ascii="Verdana" w:hAnsi="Verdana"/>
          <w:sz w:val="18"/>
          <w:szCs w:val="18"/>
        </w:rPr>
        <w:t>@bigmir.net</w:t>
      </w:r>
      <w:r w:rsidRPr="00C96567">
        <w:rPr>
          <w:rFonts w:ascii="Verdana" w:hAnsi="Verdana"/>
          <w:sz w:val="18"/>
          <w:szCs w:val="18"/>
        </w:rPr>
        <w:t xml:space="preserve">. </w:t>
      </w:r>
    </w:p>
    <w:p w:rsidR="006D1609" w:rsidRPr="00C96567" w:rsidRDefault="005A62F1" w:rsidP="00001C69">
      <w:pPr>
        <w:spacing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C96567">
        <w:rPr>
          <w:rFonts w:ascii="Verdana" w:hAnsi="Verdana"/>
          <w:sz w:val="18"/>
          <w:szCs w:val="18"/>
        </w:rPr>
        <w:t>Адміністрація ТОВ «Трускавецький водоканал»</w:t>
      </w:r>
    </w:p>
    <w:sectPr w:rsidR="006D1609" w:rsidRPr="00C96567" w:rsidSect="00124DF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A8C"/>
    <w:multiLevelType w:val="hybridMultilevel"/>
    <w:tmpl w:val="5B84423C"/>
    <w:lvl w:ilvl="0" w:tplc="8B5E3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62F1"/>
    <w:rsid w:val="00001C69"/>
    <w:rsid w:val="00001F44"/>
    <w:rsid w:val="00013E10"/>
    <w:rsid w:val="00013E92"/>
    <w:rsid w:val="000232F3"/>
    <w:rsid w:val="00031CC6"/>
    <w:rsid w:val="00034909"/>
    <w:rsid w:val="00035B62"/>
    <w:rsid w:val="00037527"/>
    <w:rsid w:val="000445F2"/>
    <w:rsid w:val="00045EDC"/>
    <w:rsid w:val="00062065"/>
    <w:rsid w:val="00072A01"/>
    <w:rsid w:val="00072BD0"/>
    <w:rsid w:val="00075D5C"/>
    <w:rsid w:val="0007757E"/>
    <w:rsid w:val="00090430"/>
    <w:rsid w:val="0009043C"/>
    <w:rsid w:val="00091664"/>
    <w:rsid w:val="00093D73"/>
    <w:rsid w:val="000A77C3"/>
    <w:rsid w:val="000B25FF"/>
    <w:rsid w:val="000D77F6"/>
    <w:rsid w:val="000F5D41"/>
    <w:rsid w:val="000F7484"/>
    <w:rsid w:val="00101107"/>
    <w:rsid w:val="0011032A"/>
    <w:rsid w:val="00117FA3"/>
    <w:rsid w:val="00124DF8"/>
    <w:rsid w:val="00124EB0"/>
    <w:rsid w:val="00132BEE"/>
    <w:rsid w:val="00135E70"/>
    <w:rsid w:val="00136437"/>
    <w:rsid w:val="001417AE"/>
    <w:rsid w:val="00153B13"/>
    <w:rsid w:val="001547B6"/>
    <w:rsid w:val="001603FD"/>
    <w:rsid w:val="00161D99"/>
    <w:rsid w:val="001633A4"/>
    <w:rsid w:val="00171CAF"/>
    <w:rsid w:val="00181529"/>
    <w:rsid w:val="00181BF1"/>
    <w:rsid w:val="00186139"/>
    <w:rsid w:val="001A00CF"/>
    <w:rsid w:val="001A10DF"/>
    <w:rsid w:val="001A78DB"/>
    <w:rsid w:val="001B1B5F"/>
    <w:rsid w:val="001B2530"/>
    <w:rsid w:val="001B2B70"/>
    <w:rsid w:val="001B39B0"/>
    <w:rsid w:val="001B7D39"/>
    <w:rsid w:val="001C0B5F"/>
    <w:rsid w:val="001D3A95"/>
    <w:rsid w:val="001D4FF5"/>
    <w:rsid w:val="001F3353"/>
    <w:rsid w:val="00201E08"/>
    <w:rsid w:val="0020591C"/>
    <w:rsid w:val="00212D81"/>
    <w:rsid w:val="002413DF"/>
    <w:rsid w:val="00250099"/>
    <w:rsid w:val="00266546"/>
    <w:rsid w:val="00276CA9"/>
    <w:rsid w:val="00283777"/>
    <w:rsid w:val="00284B3B"/>
    <w:rsid w:val="002935DC"/>
    <w:rsid w:val="002A09E2"/>
    <w:rsid w:val="002A1CE2"/>
    <w:rsid w:val="002A362C"/>
    <w:rsid w:val="002A5979"/>
    <w:rsid w:val="002B2684"/>
    <w:rsid w:val="002B499D"/>
    <w:rsid w:val="002C402F"/>
    <w:rsid w:val="002D0F63"/>
    <w:rsid w:val="002E0704"/>
    <w:rsid w:val="002E4A31"/>
    <w:rsid w:val="002E5CBB"/>
    <w:rsid w:val="002F4EEC"/>
    <w:rsid w:val="0030600A"/>
    <w:rsid w:val="003066BD"/>
    <w:rsid w:val="003117C7"/>
    <w:rsid w:val="00312DEE"/>
    <w:rsid w:val="0032405B"/>
    <w:rsid w:val="00333956"/>
    <w:rsid w:val="00333EF1"/>
    <w:rsid w:val="00334DF6"/>
    <w:rsid w:val="00336B54"/>
    <w:rsid w:val="0035015D"/>
    <w:rsid w:val="003506E3"/>
    <w:rsid w:val="00360EC3"/>
    <w:rsid w:val="00364D30"/>
    <w:rsid w:val="00367B9E"/>
    <w:rsid w:val="00371380"/>
    <w:rsid w:val="00374C48"/>
    <w:rsid w:val="00375032"/>
    <w:rsid w:val="0037714A"/>
    <w:rsid w:val="0038137B"/>
    <w:rsid w:val="00390826"/>
    <w:rsid w:val="00392C5E"/>
    <w:rsid w:val="00393C10"/>
    <w:rsid w:val="003B4486"/>
    <w:rsid w:val="003C21AD"/>
    <w:rsid w:val="003C3D86"/>
    <w:rsid w:val="003D287A"/>
    <w:rsid w:val="003E2C8F"/>
    <w:rsid w:val="003E510A"/>
    <w:rsid w:val="003F038A"/>
    <w:rsid w:val="003F75C6"/>
    <w:rsid w:val="003F7DB3"/>
    <w:rsid w:val="00417B14"/>
    <w:rsid w:val="004259B5"/>
    <w:rsid w:val="00431A45"/>
    <w:rsid w:val="0044646D"/>
    <w:rsid w:val="004472BB"/>
    <w:rsid w:val="004527E5"/>
    <w:rsid w:val="004553DD"/>
    <w:rsid w:val="004600DF"/>
    <w:rsid w:val="00460CD3"/>
    <w:rsid w:val="00472246"/>
    <w:rsid w:val="00492870"/>
    <w:rsid w:val="004979B4"/>
    <w:rsid w:val="004B32B1"/>
    <w:rsid w:val="004B4B87"/>
    <w:rsid w:val="004D07FB"/>
    <w:rsid w:val="004E2236"/>
    <w:rsid w:val="004F32F0"/>
    <w:rsid w:val="004F733F"/>
    <w:rsid w:val="00503E2C"/>
    <w:rsid w:val="0051238E"/>
    <w:rsid w:val="005136AB"/>
    <w:rsid w:val="005157D9"/>
    <w:rsid w:val="0051696F"/>
    <w:rsid w:val="00517D78"/>
    <w:rsid w:val="00527422"/>
    <w:rsid w:val="00534939"/>
    <w:rsid w:val="00542BD9"/>
    <w:rsid w:val="0054705B"/>
    <w:rsid w:val="00547206"/>
    <w:rsid w:val="0055203D"/>
    <w:rsid w:val="0055215D"/>
    <w:rsid w:val="00565048"/>
    <w:rsid w:val="00572BA2"/>
    <w:rsid w:val="0057735E"/>
    <w:rsid w:val="00584A69"/>
    <w:rsid w:val="005932BC"/>
    <w:rsid w:val="005955E8"/>
    <w:rsid w:val="005A62F1"/>
    <w:rsid w:val="005A6E13"/>
    <w:rsid w:val="005B1207"/>
    <w:rsid w:val="005C5270"/>
    <w:rsid w:val="005C73FC"/>
    <w:rsid w:val="005D1CD0"/>
    <w:rsid w:val="005E343D"/>
    <w:rsid w:val="005E5ED7"/>
    <w:rsid w:val="005E7C32"/>
    <w:rsid w:val="005F2E9E"/>
    <w:rsid w:val="00603F84"/>
    <w:rsid w:val="0060626A"/>
    <w:rsid w:val="00611CC0"/>
    <w:rsid w:val="006124F5"/>
    <w:rsid w:val="00627DF6"/>
    <w:rsid w:val="006352AE"/>
    <w:rsid w:val="00642271"/>
    <w:rsid w:val="00645254"/>
    <w:rsid w:val="0064728D"/>
    <w:rsid w:val="006511EB"/>
    <w:rsid w:val="00652729"/>
    <w:rsid w:val="00652DDF"/>
    <w:rsid w:val="00653F41"/>
    <w:rsid w:val="00665826"/>
    <w:rsid w:val="006706CF"/>
    <w:rsid w:val="006833DA"/>
    <w:rsid w:val="006867D3"/>
    <w:rsid w:val="0068751A"/>
    <w:rsid w:val="00690D49"/>
    <w:rsid w:val="006A763A"/>
    <w:rsid w:val="006B7247"/>
    <w:rsid w:val="006D25A8"/>
    <w:rsid w:val="006E039A"/>
    <w:rsid w:val="007042B7"/>
    <w:rsid w:val="007075B5"/>
    <w:rsid w:val="0071329C"/>
    <w:rsid w:val="00727495"/>
    <w:rsid w:val="007306EA"/>
    <w:rsid w:val="00730757"/>
    <w:rsid w:val="007308D7"/>
    <w:rsid w:val="00754433"/>
    <w:rsid w:val="00764B62"/>
    <w:rsid w:val="007651E4"/>
    <w:rsid w:val="00770EC2"/>
    <w:rsid w:val="00773B51"/>
    <w:rsid w:val="00785B85"/>
    <w:rsid w:val="007A48BD"/>
    <w:rsid w:val="007A4B90"/>
    <w:rsid w:val="007A6CEC"/>
    <w:rsid w:val="007A7E15"/>
    <w:rsid w:val="007B123E"/>
    <w:rsid w:val="007C2340"/>
    <w:rsid w:val="007D3D2B"/>
    <w:rsid w:val="007E2AA5"/>
    <w:rsid w:val="007E3A75"/>
    <w:rsid w:val="007E479C"/>
    <w:rsid w:val="007F480A"/>
    <w:rsid w:val="00801451"/>
    <w:rsid w:val="008042DF"/>
    <w:rsid w:val="00813B52"/>
    <w:rsid w:val="00816538"/>
    <w:rsid w:val="00821FCC"/>
    <w:rsid w:val="008323BC"/>
    <w:rsid w:val="008370C2"/>
    <w:rsid w:val="00841759"/>
    <w:rsid w:val="00853F4B"/>
    <w:rsid w:val="00855B8A"/>
    <w:rsid w:val="008647DF"/>
    <w:rsid w:val="00864EAC"/>
    <w:rsid w:val="00873E95"/>
    <w:rsid w:val="00884CCF"/>
    <w:rsid w:val="00887D94"/>
    <w:rsid w:val="008945E8"/>
    <w:rsid w:val="008A39CD"/>
    <w:rsid w:val="008A66FB"/>
    <w:rsid w:val="008A6874"/>
    <w:rsid w:val="008B0C0F"/>
    <w:rsid w:val="008C0525"/>
    <w:rsid w:val="008C75B9"/>
    <w:rsid w:val="008D003C"/>
    <w:rsid w:val="008D02EA"/>
    <w:rsid w:val="008D0F36"/>
    <w:rsid w:val="008D2ACE"/>
    <w:rsid w:val="008D63F2"/>
    <w:rsid w:val="00901ACE"/>
    <w:rsid w:val="00904B16"/>
    <w:rsid w:val="0090527E"/>
    <w:rsid w:val="00913E19"/>
    <w:rsid w:val="0091510A"/>
    <w:rsid w:val="00927C3C"/>
    <w:rsid w:val="009308FF"/>
    <w:rsid w:val="00934029"/>
    <w:rsid w:val="0093693E"/>
    <w:rsid w:val="00941E26"/>
    <w:rsid w:val="0094311E"/>
    <w:rsid w:val="0096750A"/>
    <w:rsid w:val="0097079E"/>
    <w:rsid w:val="00970CDD"/>
    <w:rsid w:val="0097393A"/>
    <w:rsid w:val="00982480"/>
    <w:rsid w:val="00982763"/>
    <w:rsid w:val="00985589"/>
    <w:rsid w:val="00985647"/>
    <w:rsid w:val="00990F68"/>
    <w:rsid w:val="00994427"/>
    <w:rsid w:val="009958D5"/>
    <w:rsid w:val="009A2908"/>
    <w:rsid w:val="009A55B3"/>
    <w:rsid w:val="009A59FD"/>
    <w:rsid w:val="009B1867"/>
    <w:rsid w:val="009B453D"/>
    <w:rsid w:val="009D560E"/>
    <w:rsid w:val="009D5663"/>
    <w:rsid w:val="009D6A2B"/>
    <w:rsid w:val="009E7643"/>
    <w:rsid w:val="009F0402"/>
    <w:rsid w:val="009F2DC8"/>
    <w:rsid w:val="009F4C56"/>
    <w:rsid w:val="009F7F63"/>
    <w:rsid w:val="00A010A3"/>
    <w:rsid w:val="00A0302A"/>
    <w:rsid w:val="00A21003"/>
    <w:rsid w:val="00A22FEA"/>
    <w:rsid w:val="00A24E88"/>
    <w:rsid w:val="00A321FC"/>
    <w:rsid w:val="00A326AF"/>
    <w:rsid w:val="00A3606A"/>
    <w:rsid w:val="00A43DE9"/>
    <w:rsid w:val="00A4537C"/>
    <w:rsid w:val="00A4625A"/>
    <w:rsid w:val="00A47C1B"/>
    <w:rsid w:val="00A5201D"/>
    <w:rsid w:val="00A578D7"/>
    <w:rsid w:val="00A6096E"/>
    <w:rsid w:val="00A60AEB"/>
    <w:rsid w:val="00A7038A"/>
    <w:rsid w:val="00A82170"/>
    <w:rsid w:val="00A832ED"/>
    <w:rsid w:val="00A977E5"/>
    <w:rsid w:val="00AB1214"/>
    <w:rsid w:val="00AB3246"/>
    <w:rsid w:val="00AB3E5B"/>
    <w:rsid w:val="00AC0C74"/>
    <w:rsid w:val="00AC6D6E"/>
    <w:rsid w:val="00AD6AF3"/>
    <w:rsid w:val="00AD701F"/>
    <w:rsid w:val="00AD7330"/>
    <w:rsid w:val="00AE49EC"/>
    <w:rsid w:val="00AE79A3"/>
    <w:rsid w:val="00AF0277"/>
    <w:rsid w:val="00AF592C"/>
    <w:rsid w:val="00B10540"/>
    <w:rsid w:val="00B13AD9"/>
    <w:rsid w:val="00B24E8A"/>
    <w:rsid w:val="00B257EC"/>
    <w:rsid w:val="00B27E53"/>
    <w:rsid w:val="00B33BA7"/>
    <w:rsid w:val="00B34D1F"/>
    <w:rsid w:val="00B35222"/>
    <w:rsid w:val="00B43762"/>
    <w:rsid w:val="00B554DE"/>
    <w:rsid w:val="00B717FC"/>
    <w:rsid w:val="00B748CC"/>
    <w:rsid w:val="00B75E4F"/>
    <w:rsid w:val="00B82FDC"/>
    <w:rsid w:val="00B90F98"/>
    <w:rsid w:val="00B916B3"/>
    <w:rsid w:val="00B931E6"/>
    <w:rsid w:val="00B94187"/>
    <w:rsid w:val="00BA3811"/>
    <w:rsid w:val="00BA6D93"/>
    <w:rsid w:val="00BB2F12"/>
    <w:rsid w:val="00BC1F86"/>
    <w:rsid w:val="00BC6D68"/>
    <w:rsid w:val="00BE00F4"/>
    <w:rsid w:val="00BE0AC2"/>
    <w:rsid w:val="00BF3663"/>
    <w:rsid w:val="00BF3FE4"/>
    <w:rsid w:val="00BF4388"/>
    <w:rsid w:val="00C02FC5"/>
    <w:rsid w:val="00C07B99"/>
    <w:rsid w:val="00C07EC8"/>
    <w:rsid w:val="00C10841"/>
    <w:rsid w:val="00C1089F"/>
    <w:rsid w:val="00C11159"/>
    <w:rsid w:val="00C12A33"/>
    <w:rsid w:val="00C16337"/>
    <w:rsid w:val="00C22413"/>
    <w:rsid w:val="00C339F3"/>
    <w:rsid w:val="00C34150"/>
    <w:rsid w:val="00C4470B"/>
    <w:rsid w:val="00C46849"/>
    <w:rsid w:val="00C52DED"/>
    <w:rsid w:val="00C628E5"/>
    <w:rsid w:val="00C62C93"/>
    <w:rsid w:val="00C71BEA"/>
    <w:rsid w:val="00C73875"/>
    <w:rsid w:val="00C81113"/>
    <w:rsid w:val="00C83C3F"/>
    <w:rsid w:val="00C91922"/>
    <w:rsid w:val="00C96567"/>
    <w:rsid w:val="00CA4CCC"/>
    <w:rsid w:val="00CB0174"/>
    <w:rsid w:val="00CE72C4"/>
    <w:rsid w:val="00CF02E0"/>
    <w:rsid w:val="00D02B1D"/>
    <w:rsid w:val="00D03714"/>
    <w:rsid w:val="00D07AF1"/>
    <w:rsid w:val="00D107ED"/>
    <w:rsid w:val="00D12C6C"/>
    <w:rsid w:val="00D12DF5"/>
    <w:rsid w:val="00D15B26"/>
    <w:rsid w:val="00D22CDA"/>
    <w:rsid w:val="00D23845"/>
    <w:rsid w:val="00D2508B"/>
    <w:rsid w:val="00D25C55"/>
    <w:rsid w:val="00D2670E"/>
    <w:rsid w:val="00D34DC2"/>
    <w:rsid w:val="00D350E3"/>
    <w:rsid w:val="00D5122F"/>
    <w:rsid w:val="00D51C4B"/>
    <w:rsid w:val="00D550CF"/>
    <w:rsid w:val="00D61A98"/>
    <w:rsid w:val="00D7589C"/>
    <w:rsid w:val="00D809B4"/>
    <w:rsid w:val="00DA19F9"/>
    <w:rsid w:val="00DA67A5"/>
    <w:rsid w:val="00DC2983"/>
    <w:rsid w:val="00DC36CC"/>
    <w:rsid w:val="00DC3E02"/>
    <w:rsid w:val="00DC541B"/>
    <w:rsid w:val="00DD1A90"/>
    <w:rsid w:val="00DD3BCC"/>
    <w:rsid w:val="00DD5D0F"/>
    <w:rsid w:val="00DD718D"/>
    <w:rsid w:val="00DE0DAE"/>
    <w:rsid w:val="00DE5E83"/>
    <w:rsid w:val="00DE7C1D"/>
    <w:rsid w:val="00DF2643"/>
    <w:rsid w:val="00DF4801"/>
    <w:rsid w:val="00E03FC5"/>
    <w:rsid w:val="00E10574"/>
    <w:rsid w:val="00E27875"/>
    <w:rsid w:val="00E27D3F"/>
    <w:rsid w:val="00E33495"/>
    <w:rsid w:val="00E45DBA"/>
    <w:rsid w:val="00E46892"/>
    <w:rsid w:val="00E54B55"/>
    <w:rsid w:val="00E57EB6"/>
    <w:rsid w:val="00E602B5"/>
    <w:rsid w:val="00E63DC5"/>
    <w:rsid w:val="00E704AB"/>
    <w:rsid w:val="00E71A89"/>
    <w:rsid w:val="00E76BFC"/>
    <w:rsid w:val="00E81180"/>
    <w:rsid w:val="00E84835"/>
    <w:rsid w:val="00E9402C"/>
    <w:rsid w:val="00E957EF"/>
    <w:rsid w:val="00EA47B3"/>
    <w:rsid w:val="00EB038C"/>
    <w:rsid w:val="00EB4CF4"/>
    <w:rsid w:val="00EC667A"/>
    <w:rsid w:val="00ED5FD2"/>
    <w:rsid w:val="00EE2B33"/>
    <w:rsid w:val="00EE6301"/>
    <w:rsid w:val="00F014C4"/>
    <w:rsid w:val="00F1665B"/>
    <w:rsid w:val="00F26022"/>
    <w:rsid w:val="00F37FB9"/>
    <w:rsid w:val="00F438E4"/>
    <w:rsid w:val="00F552A5"/>
    <w:rsid w:val="00F635FE"/>
    <w:rsid w:val="00F64B7D"/>
    <w:rsid w:val="00F651B9"/>
    <w:rsid w:val="00F71C2E"/>
    <w:rsid w:val="00F76FCB"/>
    <w:rsid w:val="00FA3155"/>
    <w:rsid w:val="00FB0FB9"/>
    <w:rsid w:val="00FB1C8C"/>
    <w:rsid w:val="00FB7BCC"/>
    <w:rsid w:val="00FC090C"/>
    <w:rsid w:val="00FC1831"/>
    <w:rsid w:val="00FC4C03"/>
    <w:rsid w:val="00FC6240"/>
    <w:rsid w:val="00FC6B26"/>
    <w:rsid w:val="00FD1E8A"/>
    <w:rsid w:val="00FD7894"/>
    <w:rsid w:val="00FF0886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2F1"/>
    <w:pPr>
      <w:ind w:left="720"/>
      <w:contextualSpacing/>
    </w:pPr>
  </w:style>
  <w:style w:type="paragraph" w:styleId="a5">
    <w:name w:val="Body Text Indent"/>
    <w:basedOn w:val="a"/>
    <w:link w:val="a6"/>
    <w:rsid w:val="005A62F1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6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08D9-2645-41CF-B0AF-E6222CA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2019-09-27T14:12:00Z</cp:lastPrinted>
  <dcterms:created xsi:type="dcterms:W3CDTF">2019-03-05T13:22:00Z</dcterms:created>
  <dcterms:modified xsi:type="dcterms:W3CDTF">2019-10-15T12:33:00Z</dcterms:modified>
</cp:coreProperties>
</file>